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E" w:rsidRPr="00524BCB" w:rsidRDefault="001F201E" w:rsidP="001F201E">
      <w:pPr>
        <w:rPr>
          <w:rFonts w:ascii="Arial" w:hAnsi="Arial" w:cs="Arial"/>
        </w:rPr>
      </w:pPr>
    </w:p>
    <w:p w:rsidR="00ED4B10" w:rsidRPr="00524BCB" w:rsidRDefault="00ED4B10">
      <w:pPr>
        <w:pStyle w:val="Nzev"/>
        <w:rPr>
          <w:rFonts w:ascii="Arial" w:hAnsi="Arial" w:cs="Arial"/>
          <w:sz w:val="20"/>
        </w:rPr>
      </w:pPr>
      <w:r w:rsidRPr="00524BCB">
        <w:rPr>
          <w:rFonts w:ascii="Arial" w:hAnsi="Arial" w:cs="Arial"/>
          <w:sz w:val="20"/>
        </w:rPr>
        <w:t>Kupní smlouva</w:t>
      </w:r>
    </w:p>
    <w:p w:rsidR="00ED4B10" w:rsidRPr="00524BCB" w:rsidRDefault="00ED4B10">
      <w:pPr>
        <w:spacing w:before="120"/>
        <w:jc w:val="center"/>
        <w:rPr>
          <w:rFonts w:ascii="Arial" w:hAnsi="Arial" w:cs="Arial"/>
        </w:rPr>
      </w:pPr>
      <w:r w:rsidRPr="00524BCB">
        <w:rPr>
          <w:rFonts w:ascii="Arial" w:hAnsi="Arial" w:cs="Arial"/>
        </w:rPr>
        <w:t xml:space="preserve">uzavřená níže uvedenými smluvními stranami podle </w:t>
      </w:r>
      <w:r w:rsidR="008F726E" w:rsidRPr="00524BCB">
        <w:rPr>
          <w:rFonts w:ascii="Arial" w:hAnsi="Arial" w:cs="Arial"/>
        </w:rPr>
        <w:t>příslušných ustanovení Občanského zákoníku</w:t>
      </w:r>
      <w:r w:rsidRPr="00524BCB">
        <w:rPr>
          <w:rFonts w:ascii="Arial" w:hAnsi="Arial" w:cs="Arial"/>
        </w:rPr>
        <w:t xml:space="preserve"> v platném znění </w:t>
      </w:r>
    </w:p>
    <w:p w:rsidR="00ED4B10" w:rsidRPr="00524BCB" w:rsidRDefault="00ED4B10" w:rsidP="00BC7C58">
      <w:pPr>
        <w:spacing w:before="120" w:line="240" w:lineRule="atLeast"/>
        <w:rPr>
          <w:rFonts w:ascii="Arial" w:hAnsi="Arial" w:cs="Arial"/>
          <w:color w:val="0000FF"/>
        </w:rPr>
      </w:pPr>
      <w:r w:rsidRPr="00524BCB">
        <w:rPr>
          <w:rFonts w:ascii="Arial" w:hAnsi="Arial" w:cs="Arial"/>
        </w:rPr>
        <w:tab/>
      </w:r>
    </w:p>
    <w:p w:rsidR="00ED4B10" w:rsidRPr="00524BCB" w:rsidRDefault="00ED4B10">
      <w:pPr>
        <w:pStyle w:val="Nadpis1"/>
        <w:rPr>
          <w:rFonts w:ascii="Arial" w:hAnsi="Arial" w:cs="Arial"/>
          <w:sz w:val="20"/>
        </w:rPr>
      </w:pPr>
      <w:r w:rsidRPr="00524BCB">
        <w:rPr>
          <w:rFonts w:ascii="Arial" w:hAnsi="Arial" w:cs="Arial"/>
          <w:sz w:val="20"/>
        </w:rPr>
        <w:t>1. Smluvní strany</w:t>
      </w:r>
    </w:p>
    <w:p w:rsidR="00ED4B10" w:rsidRPr="00524BCB" w:rsidRDefault="000B6A06">
      <w:pPr>
        <w:spacing w:before="120" w:line="240" w:lineRule="atLeast"/>
        <w:rPr>
          <w:rFonts w:ascii="Arial" w:hAnsi="Arial" w:cs="Arial"/>
          <w:b/>
          <w:bCs/>
        </w:rPr>
      </w:pPr>
      <w:r>
        <w:rPr>
          <w:rFonts w:ascii="Arial" w:hAnsi="Arial" w:cs="Arial"/>
          <w:b/>
        </w:rPr>
        <w:t>Kupující</w:t>
      </w:r>
      <w:r w:rsidR="00ED4B10" w:rsidRPr="00524BCB">
        <w:rPr>
          <w:rFonts w:ascii="Arial" w:hAnsi="Arial" w:cs="Arial"/>
          <w:b/>
          <w:bCs/>
        </w:rPr>
        <w:t>:</w:t>
      </w:r>
    </w:p>
    <w:p w:rsidR="00753B45" w:rsidRPr="00524BCB" w:rsidRDefault="00753B45" w:rsidP="00753B45">
      <w:pPr>
        <w:spacing w:before="120" w:line="240" w:lineRule="atLeast"/>
        <w:rPr>
          <w:rFonts w:ascii="Arial" w:hAnsi="Arial" w:cs="Arial"/>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660"/>
      </w:tblGrid>
      <w:tr w:rsidR="00753B45" w:rsidRPr="00524BCB" w:rsidTr="00CC7C10">
        <w:tc>
          <w:tcPr>
            <w:tcW w:w="2340" w:type="dxa"/>
            <w:vAlign w:val="center"/>
          </w:tcPr>
          <w:p w:rsidR="00753B45" w:rsidRPr="00524BCB" w:rsidRDefault="00753B45" w:rsidP="00CC7C10">
            <w:pPr>
              <w:spacing w:before="120"/>
              <w:rPr>
                <w:rFonts w:ascii="Arial" w:hAnsi="Arial" w:cs="Arial"/>
              </w:rPr>
            </w:pPr>
            <w:r w:rsidRPr="00524BCB">
              <w:rPr>
                <w:rFonts w:ascii="Arial" w:hAnsi="Arial" w:cs="Arial"/>
              </w:rPr>
              <w:t>Název firmy:</w:t>
            </w:r>
            <w:r w:rsidRPr="00524BCB">
              <w:rPr>
                <w:rFonts w:ascii="Arial" w:hAnsi="Arial" w:cs="Arial"/>
              </w:rPr>
              <w:tab/>
            </w:r>
          </w:p>
        </w:tc>
        <w:tc>
          <w:tcPr>
            <w:tcW w:w="6660" w:type="dxa"/>
            <w:vAlign w:val="center"/>
          </w:tcPr>
          <w:p w:rsidR="00753B45" w:rsidRPr="001D0547" w:rsidRDefault="00753B45" w:rsidP="00CC7C10">
            <w:pPr>
              <w:spacing w:before="120"/>
              <w:rPr>
                <w:rFonts w:ascii="Arial" w:hAnsi="Arial" w:cs="Arial"/>
              </w:rPr>
            </w:pPr>
            <w:r w:rsidRPr="001D0547">
              <w:rPr>
                <w:rFonts w:ascii="Arial" w:hAnsi="Arial" w:cs="Arial"/>
                <w:b/>
                <w:bCs/>
                <w:color w:val="000000"/>
              </w:rPr>
              <w:t>G-HELP z.ú.</w:t>
            </w:r>
          </w:p>
        </w:tc>
      </w:tr>
      <w:tr w:rsidR="00753B45" w:rsidRPr="00524BCB" w:rsidTr="00CC7C10">
        <w:tc>
          <w:tcPr>
            <w:tcW w:w="2340" w:type="dxa"/>
            <w:vAlign w:val="center"/>
          </w:tcPr>
          <w:p w:rsidR="00753B45" w:rsidRPr="00524BCB" w:rsidRDefault="00753B45" w:rsidP="00CC7C10">
            <w:pPr>
              <w:spacing w:before="120"/>
              <w:rPr>
                <w:rFonts w:ascii="Arial" w:hAnsi="Arial" w:cs="Arial"/>
              </w:rPr>
            </w:pPr>
            <w:r w:rsidRPr="00524BCB">
              <w:rPr>
                <w:rFonts w:ascii="Arial" w:hAnsi="Arial" w:cs="Arial"/>
              </w:rPr>
              <w:t>Sídlo:</w:t>
            </w:r>
            <w:r w:rsidRPr="00524BCB">
              <w:rPr>
                <w:rFonts w:ascii="Arial" w:hAnsi="Arial" w:cs="Arial"/>
              </w:rPr>
              <w:tab/>
            </w:r>
          </w:p>
        </w:tc>
        <w:tc>
          <w:tcPr>
            <w:tcW w:w="6660" w:type="dxa"/>
            <w:vAlign w:val="center"/>
          </w:tcPr>
          <w:p w:rsidR="00753B45" w:rsidRPr="001D0547" w:rsidRDefault="00753B45" w:rsidP="00CC7C10">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1D0547">
              <w:rPr>
                <w:rFonts w:ascii="Arial" w:hAnsi="Arial" w:cs="Arial"/>
                <w:bCs/>
              </w:rPr>
              <w:t>Komenského 209, 281 61 Kouřim</w:t>
            </w:r>
          </w:p>
        </w:tc>
      </w:tr>
      <w:tr w:rsidR="00753B45" w:rsidRPr="00524BCB" w:rsidTr="00CC7C10">
        <w:tc>
          <w:tcPr>
            <w:tcW w:w="2340" w:type="dxa"/>
            <w:vAlign w:val="center"/>
          </w:tcPr>
          <w:p w:rsidR="00753B45" w:rsidRPr="00524BCB" w:rsidRDefault="00753B45" w:rsidP="00CC7C10">
            <w:pPr>
              <w:spacing w:before="120"/>
              <w:rPr>
                <w:rFonts w:ascii="Arial" w:hAnsi="Arial" w:cs="Arial"/>
              </w:rPr>
            </w:pPr>
            <w:r w:rsidRPr="00524BCB">
              <w:rPr>
                <w:rFonts w:ascii="Arial" w:hAnsi="Arial" w:cs="Arial"/>
              </w:rPr>
              <w:t>IČ:</w:t>
            </w:r>
          </w:p>
        </w:tc>
        <w:tc>
          <w:tcPr>
            <w:tcW w:w="6660" w:type="dxa"/>
            <w:vAlign w:val="center"/>
          </w:tcPr>
          <w:p w:rsidR="00753B45" w:rsidRPr="001D0547" w:rsidRDefault="00753B45" w:rsidP="00CC7C10">
            <w:pPr>
              <w:rPr>
                <w:rFonts w:ascii="Arial" w:hAnsi="Arial" w:cs="Arial"/>
                <w:bCs/>
              </w:rPr>
            </w:pPr>
            <w:r w:rsidRPr="001D0547">
              <w:rPr>
                <w:rFonts w:ascii="Arial" w:hAnsi="Arial" w:cs="Arial"/>
                <w:bCs/>
              </w:rPr>
              <w:t>27368921</w:t>
            </w:r>
          </w:p>
        </w:tc>
      </w:tr>
      <w:tr w:rsidR="00753B45" w:rsidRPr="00524BCB" w:rsidTr="00CC7C10">
        <w:tc>
          <w:tcPr>
            <w:tcW w:w="2340" w:type="dxa"/>
            <w:vAlign w:val="center"/>
          </w:tcPr>
          <w:p w:rsidR="00753B45" w:rsidRPr="00524BCB" w:rsidRDefault="00753B45" w:rsidP="00CC7C10">
            <w:pPr>
              <w:spacing w:before="120"/>
              <w:rPr>
                <w:rFonts w:ascii="Arial" w:hAnsi="Arial" w:cs="Arial"/>
              </w:rPr>
            </w:pPr>
            <w:r w:rsidRPr="00524BCB">
              <w:rPr>
                <w:rFonts w:ascii="Arial" w:hAnsi="Arial" w:cs="Arial"/>
              </w:rPr>
              <w:t>DIČ:</w:t>
            </w:r>
          </w:p>
        </w:tc>
        <w:tc>
          <w:tcPr>
            <w:tcW w:w="6660" w:type="dxa"/>
            <w:vAlign w:val="center"/>
          </w:tcPr>
          <w:p w:rsidR="00753B45" w:rsidRPr="001D0547" w:rsidRDefault="00753B45" w:rsidP="00CC7C10">
            <w:pPr>
              <w:rPr>
                <w:rFonts w:ascii="Arial" w:hAnsi="Arial" w:cs="Arial"/>
                <w:bCs/>
              </w:rPr>
            </w:pPr>
            <w:r w:rsidRPr="001D0547">
              <w:rPr>
                <w:rFonts w:ascii="Arial" w:hAnsi="Arial" w:cs="Arial"/>
                <w:bCs/>
                <w:color w:val="000000"/>
                <w:spacing w:val="4"/>
              </w:rPr>
              <w:t>Neplátce DPH</w:t>
            </w:r>
          </w:p>
        </w:tc>
      </w:tr>
      <w:tr w:rsidR="00753B45" w:rsidRPr="00524BCB" w:rsidTr="00CC7C10">
        <w:tc>
          <w:tcPr>
            <w:tcW w:w="2340" w:type="dxa"/>
            <w:vAlign w:val="center"/>
          </w:tcPr>
          <w:p w:rsidR="00753B45" w:rsidRPr="000F1717" w:rsidRDefault="00753B45" w:rsidP="00CC7C10">
            <w:pPr>
              <w:spacing w:before="120"/>
              <w:rPr>
                <w:rFonts w:ascii="Arial" w:hAnsi="Arial" w:cs="Arial"/>
              </w:rPr>
            </w:pPr>
            <w:r w:rsidRPr="000F1717">
              <w:rPr>
                <w:rFonts w:ascii="Arial" w:hAnsi="Arial" w:cs="Arial"/>
              </w:rPr>
              <w:t>Bankovní spojení:</w:t>
            </w:r>
          </w:p>
        </w:tc>
        <w:tc>
          <w:tcPr>
            <w:tcW w:w="6660" w:type="dxa"/>
            <w:vAlign w:val="center"/>
          </w:tcPr>
          <w:p w:rsidR="00753B45" w:rsidRPr="001D0547" w:rsidRDefault="00753B45" w:rsidP="00CC7C10">
            <w:pPr>
              <w:rPr>
                <w:rFonts w:ascii="Arial" w:hAnsi="Arial" w:cs="Arial"/>
                <w:bCs/>
                <w:color w:val="000000"/>
                <w:spacing w:val="4"/>
              </w:rPr>
            </w:pPr>
            <w:bookmarkStart w:id="0" w:name="RANGE!F43:H43"/>
            <w:bookmarkEnd w:id="0"/>
            <w:r w:rsidRPr="001D0547">
              <w:rPr>
                <w:rFonts w:ascii="Arial" w:hAnsi="Arial" w:cs="Arial"/>
                <w:bCs/>
                <w:color w:val="000000"/>
                <w:spacing w:val="4"/>
              </w:rPr>
              <w:t>0434653359/0800</w:t>
            </w:r>
          </w:p>
        </w:tc>
      </w:tr>
      <w:tr w:rsidR="00753B45" w:rsidRPr="00524BCB" w:rsidTr="00CC7C10">
        <w:tc>
          <w:tcPr>
            <w:tcW w:w="2340" w:type="dxa"/>
            <w:vAlign w:val="center"/>
          </w:tcPr>
          <w:p w:rsidR="00753B45" w:rsidRPr="00524BCB" w:rsidRDefault="00753B45" w:rsidP="00CC7C10">
            <w:pPr>
              <w:spacing w:before="120"/>
              <w:rPr>
                <w:rFonts w:ascii="Arial" w:hAnsi="Arial" w:cs="Arial"/>
              </w:rPr>
            </w:pPr>
            <w:r w:rsidRPr="00524BCB">
              <w:rPr>
                <w:rFonts w:ascii="Arial" w:hAnsi="Arial" w:cs="Arial"/>
              </w:rPr>
              <w:t xml:space="preserve">TEL.: </w:t>
            </w:r>
          </w:p>
        </w:tc>
        <w:tc>
          <w:tcPr>
            <w:tcW w:w="6660" w:type="dxa"/>
            <w:vAlign w:val="center"/>
          </w:tcPr>
          <w:p w:rsidR="00753B45" w:rsidRPr="001D0547" w:rsidRDefault="00753B45" w:rsidP="00CC7C10">
            <w:pPr>
              <w:rPr>
                <w:rFonts w:ascii="Arial" w:hAnsi="Arial" w:cs="Arial"/>
                <w:bCs/>
              </w:rPr>
            </w:pPr>
            <w:r w:rsidRPr="001D0547">
              <w:rPr>
                <w:rFonts w:ascii="Arial" w:hAnsi="Arial" w:cs="Arial"/>
              </w:rPr>
              <w:t>603 415 115</w:t>
            </w:r>
          </w:p>
        </w:tc>
      </w:tr>
      <w:tr w:rsidR="00753B45" w:rsidRPr="00524BCB" w:rsidTr="00CC7C10">
        <w:tc>
          <w:tcPr>
            <w:tcW w:w="2340" w:type="dxa"/>
            <w:vAlign w:val="center"/>
          </w:tcPr>
          <w:p w:rsidR="00753B45" w:rsidRPr="00524BCB" w:rsidRDefault="00753B45" w:rsidP="00CC7C10">
            <w:pPr>
              <w:spacing w:before="120"/>
              <w:rPr>
                <w:rFonts w:ascii="Arial" w:hAnsi="Arial" w:cs="Arial"/>
              </w:rPr>
            </w:pPr>
            <w:r>
              <w:rPr>
                <w:rFonts w:ascii="Arial" w:hAnsi="Arial" w:cs="Arial"/>
              </w:rPr>
              <w:t>E-m</w:t>
            </w:r>
            <w:r w:rsidRPr="00524BCB">
              <w:rPr>
                <w:rFonts w:ascii="Arial" w:hAnsi="Arial" w:cs="Arial"/>
              </w:rPr>
              <w:t>ail:</w:t>
            </w:r>
          </w:p>
        </w:tc>
        <w:tc>
          <w:tcPr>
            <w:tcW w:w="6660" w:type="dxa"/>
            <w:vAlign w:val="center"/>
          </w:tcPr>
          <w:p w:rsidR="00753B45" w:rsidRPr="001D0547" w:rsidRDefault="00005352" w:rsidP="00CC7C10">
            <w:pPr>
              <w:rPr>
                <w:rFonts w:ascii="Arial" w:hAnsi="Arial" w:cs="Arial"/>
                <w:bCs/>
                <w:color w:val="000000" w:themeColor="text1"/>
              </w:rPr>
            </w:pPr>
            <w:hyperlink r:id="rId7" w:history="1">
              <w:r w:rsidR="00753B45" w:rsidRPr="001D0547">
                <w:rPr>
                  <w:rStyle w:val="Hypertextovodkaz"/>
                  <w:rFonts w:ascii="Arial" w:hAnsi="Arial" w:cs="Arial"/>
                </w:rPr>
                <w:t>manager@ghelp.cz</w:t>
              </w:r>
            </w:hyperlink>
          </w:p>
        </w:tc>
      </w:tr>
      <w:tr w:rsidR="00753B45" w:rsidRPr="00524BCB" w:rsidTr="00CC7C10">
        <w:tc>
          <w:tcPr>
            <w:tcW w:w="2340" w:type="dxa"/>
            <w:vAlign w:val="center"/>
          </w:tcPr>
          <w:p w:rsidR="00753B45" w:rsidRPr="00CE5239" w:rsidRDefault="00753B45" w:rsidP="00CC7C10">
            <w:pPr>
              <w:spacing w:before="120"/>
              <w:rPr>
                <w:rFonts w:ascii="Arial" w:hAnsi="Arial" w:cs="Arial"/>
              </w:rPr>
            </w:pPr>
            <w:r w:rsidRPr="00CE5239">
              <w:rPr>
                <w:rFonts w:ascii="Arial" w:hAnsi="Arial" w:cs="Arial"/>
              </w:rPr>
              <w:t>Zastoupený:</w:t>
            </w:r>
          </w:p>
        </w:tc>
        <w:tc>
          <w:tcPr>
            <w:tcW w:w="6660" w:type="dxa"/>
            <w:vAlign w:val="center"/>
          </w:tcPr>
          <w:p w:rsidR="00753B45" w:rsidRPr="001D0547" w:rsidRDefault="00753B45" w:rsidP="00CC7C10">
            <w:pPr>
              <w:rPr>
                <w:rFonts w:ascii="Arial" w:hAnsi="Arial" w:cs="Arial"/>
                <w:bCs/>
              </w:rPr>
            </w:pPr>
            <w:r w:rsidRPr="001D0547">
              <w:rPr>
                <w:rFonts w:ascii="Arial" w:hAnsi="Arial" w:cs="Arial"/>
              </w:rPr>
              <w:t>Ing. Radkem Linhartem, ředitelem</w:t>
            </w:r>
          </w:p>
        </w:tc>
      </w:tr>
    </w:tbl>
    <w:p w:rsidR="00753B45" w:rsidRPr="00524BCB" w:rsidRDefault="00753B45" w:rsidP="00753B45">
      <w:pPr>
        <w:spacing w:before="120"/>
        <w:rPr>
          <w:rFonts w:ascii="Arial" w:hAnsi="Arial" w:cs="Arial"/>
        </w:rPr>
      </w:pPr>
      <w:r w:rsidRPr="00524BCB">
        <w:rPr>
          <w:rFonts w:ascii="Arial" w:hAnsi="Arial" w:cs="Arial"/>
          <w:b/>
          <w:bCs/>
        </w:rPr>
        <w:tab/>
      </w:r>
    </w:p>
    <w:p w:rsidR="00ED4B10" w:rsidRPr="00524BCB" w:rsidRDefault="00ED4B10">
      <w:pPr>
        <w:spacing w:before="120" w:line="240" w:lineRule="atLeast"/>
        <w:rPr>
          <w:rFonts w:ascii="Arial" w:hAnsi="Arial" w:cs="Arial"/>
          <w:b/>
        </w:rPr>
      </w:pPr>
      <w:r w:rsidRPr="00524BCB">
        <w:rPr>
          <w:rFonts w:ascii="Arial" w:hAnsi="Arial" w:cs="Arial"/>
          <w:b/>
        </w:rPr>
        <w:t>a</w:t>
      </w:r>
    </w:p>
    <w:p w:rsidR="001F201E" w:rsidRPr="00524BCB" w:rsidRDefault="001F201E">
      <w:pPr>
        <w:spacing w:before="120" w:line="240" w:lineRule="atLeast"/>
        <w:rPr>
          <w:rFonts w:ascii="Arial" w:hAnsi="Arial" w:cs="Arial"/>
          <w:b/>
        </w:rPr>
      </w:pPr>
    </w:p>
    <w:p w:rsidR="00ED4B10" w:rsidRPr="00524BCB" w:rsidRDefault="000B6A06">
      <w:pPr>
        <w:spacing w:before="120" w:line="240" w:lineRule="atLeast"/>
        <w:rPr>
          <w:rFonts w:ascii="Arial" w:hAnsi="Arial" w:cs="Arial"/>
          <w:b/>
        </w:rPr>
      </w:pPr>
      <w:r>
        <w:rPr>
          <w:rFonts w:ascii="Arial" w:hAnsi="Arial" w:cs="Arial"/>
          <w:b/>
        </w:rPr>
        <w:t>Prodávající</w:t>
      </w:r>
      <w:r w:rsidR="00ED4B10" w:rsidRPr="00524BCB">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804"/>
      </w:tblGrid>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Název firmy:</w:t>
            </w:r>
            <w:r w:rsidRPr="00314583">
              <w:rPr>
                <w:rFonts w:ascii="Arial" w:hAnsi="Arial" w:cs="Arial"/>
              </w:rPr>
              <w:tab/>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Právní forma:</w:t>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Sídlo:</w:t>
            </w:r>
            <w:r w:rsidRPr="00314583">
              <w:rPr>
                <w:rFonts w:ascii="Arial" w:hAnsi="Arial" w:cs="Arial"/>
              </w:rPr>
              <w:tab/>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IČ:</w:t>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 xml:space="preserve">DIČ: </w:t>
            </w:r>
            <w:r w:rsidRPr="00314583">
              <w:rPr>
                <w:rFonts w:ascii="Arial" w:hAnsi="Arial" w:cs="Arial"/>
              </w:rPr>
              <w:tab/>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Bankovní spojení:</w:t>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 xml:space="preserve">TEL.: </w:t>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9855EA" w:rsidP="00746698">
            <w:pPr>
              <w:spacing w:before="120"/>
              <w:rPr>
                <w:rFonts w:ascii="Arial" w:hAnsi="Arial" w:cs="Arial"/>
              </w:rPr>
            </w:pPr>
            <w:r w:rsidRPr="00314583">
              <w:rPr>
                <w:rFonts w:ascii="Arial" w:hAnsi="Arial" w:cs="Arial"/>
              </w:rPr>
              <w:t>E-mail</w:t>
            </w:r>
          </w:p>
        </w:tc>
        <w:tc>
          <w:tcPr>
            <w:tcW w:w="6804" w:type="dxa"/>
          </w:tcPr>
          <w:p w:rsidR="00ED4B10" w:rsidRPr="004215EC" w:rsidRDefault="00ED4B10" w:rsidP="00746698">
            <w:pPr>
              <w:spacing w:before="120"/>
              <w:rPr>
                <w:rFonts w:ascii="Arial" w:hAnsi="Arial" w:cs="Arial"/>
                <w:highlight w:val="yellow"/>
              </w:rPr>
            </w:pPr>
          </w:p>
        </w:tc>
      </w:tr>
      <w:tr w:rsidR="00ED4B10" w:rsidRPr="00524BCB" w:rsidTr="00567157">
        <w:tc>
          <w:tcPr>
            <w:tcW w:w="2268" w:type="dxa"/>
          </w:tcPr>
          <w:p w:rsidR="00ED4B10" w:rsidRPr="00314583" w:rsidRDefault="00ED4B10" w:rsidP="00746698">
            <w:pPr>
              <w:spacing w:before="120"/>
              <w:rPr>
                <w:rFonts w:ascii="Arial" w:hAnsi="Arial" w:cs="Arial"/>
              </w:rPr>
            </w:pPr>
            <w:r w:rsidRPr="00314583">
              <w:rPr>
                <w:rFonts w:ascii="Arial" w:hAnsi="Arial" w:cs="Arial"/>
              </w:rPr>
              <w:t>Statutární orgán:</w:t>
            </w:r>
          </w:p>
        </w:tc>
        <w:tc>
          <w:tcPr>
            <w:tcW w:w="6804" w:type="dxa"/>
          </w:tcPr>
          <w:p w:rsidR="00ED4B10" w:rsidRPr="004215EC" w:rsidRDefault="00ED4B10" w:rsidP="00746698">
            <w:pPr>
              <w:spacing w:before="120"/>
              <w:rPr>
                <w:rFonts w:ascii="Arial" w:hAnsi="Arial" w:cs="Arial"/>
                <w:highlight w:val="yellow"/>
              </w:rPr>
            </w:pPr>
            <w:r w:rsidRPr="00982D06">
              <w:rPr>
                <w:rFonts w:ascii="Arial" w:hAnsi="Arial" w:cs="Arial"/>
              </w:rPr>
              <w:tab/>
            </w:r>
          </w:p>
        </w:tc>
      </w:tr>
    </w:tbl>
    <w:p w:rsidR="00ED4B10" w:rsidRPr="00524BCB" w:rsidRDefault="00ED4B10" w:rsidP="00746698">
      <w:pPr>
        <w:spacing w:before="120" w:line="240" w:lineRule="atLeast"/>
        <w:jc w:val="both"/>
        <w:rPr>
          <w:rFonts w:ascii="Arial" w:hAnsi="Arial" w:cs="Arial"/>
        </w:rPr>
      </w:pPr>
    </w:p>
    <w:p w:rsidR="00ED4B10" w:rsidRPr="00524BCB" w:rsidRDefault="00ED4B10">
      <w:pPr>
        <w:spacing w:before="120" w:line="240" w:lineRule="atLeast"/>
        <w:rPr>
          <w:rFonts w:ascii="Arial" w:hAnsi="Arial" w:cs="Arial"/>
        </w:rPr>
      </w:pPr>
      <w:r w:rsidRPr="00524BCB">
        <w:rPr>
          <w:rFonts w:ascii="Arial" w:hAnsi="Arial" w:cs="Arial"/>
        </w:rPr>
        <w:t>uzavírají tuto kupní smlouvu:</w:t>
      </w:r>
    </w:p>
    <w:p w:rsidR="00ED4B10" w:rsidRPr="00524BCB" w:rsidRDefault="00ED4B10">
      <w:pPr>
        <w:spacing w:before="120" w:line="240" w:lineRule="atLeast"/>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b w:val="0"/>
          <w:sz w:val="20"/>
        </w:rPr>
        <w:br w:type="column"/>
      </w:r>
      <w:r w:rsidRPr="00524BCB">
        <w:rPr>
          <w:rFonts w:ascii="Arial" w:hAnsi="Arial" w:cs="Arial"/>
          <w:sz w:val="20"/>
        </w:rPr>
        <w:lastRenderedPageBreak/>
        <w:t>2. Předmět smlouvy  - zboží</w:t>
      </w:r>
    </w:p>
    <w:p w:rsidR="00ED4B10" w:rsidRPr="00524BCB" w:rsidRDefault="00ED4B10">
      <w:pPr>
        <w:rPr>
          <w:rFonts w:ascii="Arial" w:hAnsi="Arial" w:cs="Arial"/>
          <w:b/>
        </w:rPr>
      </w:pPr>
    </w:p>
    <w:p w:rsidR="00F51ACE" w:rsidRPr="00524BCB" w:rsidRDefault="00ED4B10">
      <w:pPr>
        <w:jc w:val="both"/>
        <w:rPr>
          <w:rFonts w:ascii="Arial" w:hAnsi="Arial" w:cs="Arial"/>
          <w:noProof/>
        </w:rPr>
      </w:pPr>
      <w:r w:rsidRPr="00524BCB">
        <w:rPr>
          <w:rFonts w:ascii="Arial" w:hAnsi="Arial" w:cs="Arial"/>
          <w:noProof/>
        </w:rPr>
        <w:t>Prodávající se zavazuje kupujícímu dodat zboží</w:t>
      </w:r>
      <w:r w:rsidR="009E7F7A" w:rsidRPr="00524BCB">
        <w:rPr>
          <w:rFonts w:ascii="Arial" w:hAnsi="Arial" w:cs="Arial"/>
          <w:noProof/>
        </w:rPr>
        <w:t>:</w:t>
      </w:r>
    </w:p>
    <w:p w:rsidR="007670A1" w:rsidRPr="007670A1" w:rsidRDefault="007670A1" w:rsidP="007670A1">
      <w:pPr>
        <w:jc w:val="both"/>
        <w:rPr>
          <w:rFonts w:ascii="Arial" w:hAnsi="Arial" w:cs="Arial"/>
          <w:b/>
          <w:noProof/>
        </w:rPr>
      </w:pPr>
    </w:p>
    <w:p w:rsidR="00CC7C10" w:rsidRDefault="007670A1" w:rsidP="00CC7C10">
      <w:pPr>
        <w:jc w:val="both"/>
        <w:rPr>
          <w:rFonts w:ascii="Arial" w:hAnsi="Arial" w:cs="Arial"/>
          <w:b/>
          <w:noProof/>
        </w:rPr>
      </w:pPr>
      <w:r w:rsidRPr="00CC7C10">
        <w:rPr>
          <w:rFonts w:ascii="Arial" w:hAnsi="Arial" w:cs="Arial"/>
          <w:b/>
          <w:noProof/>
        </w:rPr>
        <w:t xml:space="preserve">1 ks </w:t>
      </w:r>
      <w:r w:rsidR="00CC7C10" w:rsidRPr="00CC7C10">
        <w:rPr>
          <w:rFonts w:ascii="Arial" w:hAnsi="Arial" w:cs="Arial"/>
          <w:b/>
          <w:noProof/>
        </w:rPr>
        <w:t>Elektrický pojízdný zvedák</w:t>
      </w:r>
      <w:r w:rsidR="00DC20CB">
        <w:rPr>
          <w:rFonts w:ascii="Arial" w:hAnsi="Arial" w:cs="Arial"/>
          <w:b/>
          <w:noProof/>
        </w:rPr>
        <w:t xml:space="preserve"> - </w:t>
      </w:r>
      <w:r w:rsidR="00CC7C10" w:rsidRPr="00CC7C10">
        <w:rPr>
          <w:rFonts w:ascii="Arial" w:hAnsi="Arial" w:cs="Arial"/>
          <w:b/>
          <w:noProof/>
        </w:rPr>
        <w:t>nastavení podvozku pákou, indikátor stavu baterie, mechanicky rozevíratelná základna, pojezdová vyměnitelná kolečka s brzdou, pacientský vak</w:t>
      </w:r>
      <w:r w:rsidR="00DC20CB">
        <w:rPr>
          <w:rFonts w:ascii="Arial" w:hAnsi="Arial" w:cs="Arial"/>
          <w:b/>
          <w:noProof/>
        </w:rPr>
        <w:t xml:space="preserve"> s oporou hlavy, nosnost 200 kg</w:t>
      </w:r>
    </w:p>
    <w:p w:rsidR="000A0BB6" w:rsidRDefault="000A0BB6" w:rsidP="00CC7C10">
      <w:pPr>
        <w:jc w:val="both"/>
        <w:rPr>
          <w:rFonts w:ascii="Arial" w:hAnsi="Arial" w:cs="Arial"/>
          <w:b/>
          <w:noProof/>
        </w:rPr>
      </w:pPr>
    </w:p>
    <w:p w:rsidR="00CC7C10" w:rsidRDefault="000A0BB6" w:rsidP="007670A1">
      <w:pPr>
        <w:jc w:val="both"/>
        <w:rPr>
          <w:rFonts w:ascii="Arial" w:hAnsi="Arial" w:cs="Arial"/>
          <w:b/>
          <w:noProof/>
        </w:rPr>
      </w:pPr>
      <w:r>
        <w:rPr>
          <w:rFonts w:ascii="Arial" w:hAnsi="Arial" w:cs="Arial"/>
          <w:b/>
          <w:noProof/>
        </w:rPr>
        <w:t>8</w:t>
      </w:r>
      <w:r w:rsidR="00CC7C10" w:rsidRPr="007670A1">
        <w:rPr>
          <w:rFonts w:ascii="Arial" w:hAnsi="Arial" w:cs="Arial"/>
          <w:b/>
          <w:noProof/>
        </w:rPr>
        <w:t xml:space="preserve"> ks </w:t>
      </w:r>
      <w:r w:rsidR="00CC7C10" w:rsidRPr="00636E43">
        <w:rPr>
          <w:rFonts w:ascii="Arial" w:hAnsi="Arial" w:cs="Arial"/>
          <w:b/>
          <w:noProof/>
        </w:rPr>
        <w:t>Toaletní a sprchové pojízdné křeslo</w:t>
      </w:r>
      <w:r w:rsidR="00DC20CB">
        <w:rPr>
          <w:rFonts w:ascii="Arial" w:hAnsi="Arial" w:cs="Arial"/>
          <w:b/>
          <w:noProof/>
        </w:rPr>
        <w:t xml:space="preserve"> - </w:t>
      </w:r>
      <w:r w:rsidR="00CC7C10" w:rsidRPr="00CC7C10">
        <w:rPr>
          <w:rFonts w:ascii="Arial" w:hAnsi="Arial" w:cs="Arial"/>
          <w:b/>
          <w:noProof/>
        </w:rPr>
        <w:t>výška sedu 55 cm, nosnost 130 kg, brzdy na všech kolech, odklopné podnožky a loketní opěrky, polstrovaný</w:t>
      </w:r>
      <w:r w:rsidR="00DC20CB">
        <w:rPr>
          <w:rFonts w:ascii="Arial" w:hAnsi="Arial" w:cs="Arial"/>
          <w:b/>
          <w:noProof/>
        </w:rPr>
        <w:t xml:space="preserve"> sedák s odnímatelným výřezem</w:t>
      </w:r>
    </w:p>
    <w:p w:rsidR="000A0BB6" w:rsidRDefault="000A0BB6" w:rsidP="007670A1">
      <w:pPr>
        <w:jc w:val="both"/>
        <w:rPr>
          <w:rFonts w:ascii="Arial" w:hAnsi="Arial" w:cs="Arial"/>
          <w:b/>
          <w:noProof/>
        </w:rPr>
      </w:pPr>
    </w:p>
    <w:p w:rsidR="007670A1" w:rsidRDefault="000A0BB6" w:rsidP="007670A1">
      <w:pPr>
        <w:jc w:val="both"/>
        <w:rPr>
          <w:rFonts w:ascii="Arial" w:hAnsi="Arial" w:cs="Arial"/>
          <w:b/>
          <w:noProof/>
        </w:rPr>
      </w:pPr>
      <w:r>
        <w:rPr>
          <w:rFonts w:ascii="Arial" w:hAnsi="Arial" w:cs="Arial"/>
          <w:b/>
          <w:noProof/>
        </w:rPr>
        <w:t>3</w:t>
      </w:r>
      <w:r w:rsidR="007670A1" w:rsidRPr="00CC7C10">
        <w:rPr>
          <w:rFonts w:ascii="Arial" w:hAnsi="Arial" w:cs="Arial"/>
          <w:b/>
          <w:noProof/>
        </w:rPr>
        <w:t xml:space="preserve"> ks </w:t>
      </w:r>
      <w:r w:rsidR="00CC7C10">
        <w:rPr>
          <w:rFonts w:ascii="Arial" w:hAnsi="Arial" w:cs="Arial"/>
          <w:b/>
          <w:noProof/>
        </w:rPr>
        <w:t>Chodítko</w:t>
      </w:r>
      <w:r w:rsidR="00DC20CB">
        <w:rPr>
          <w:rFonts w:ascii="Arial" w:hAnsi="Arial" w:cs="Arial"/>
          <w:b/>
          <w:noProof/>
        </w:rPr>
        <w:t xml:space="preserve"> - </w:t>
      </w:r>
      <w:r w:rsidR="00CC7C10" w:rsidRPr="00CC7C10">
        <w:rPr>
          <w:rFonts w:ascii="Arial" w:hAnsi="Arial" w:cs="Arial"/>
          <w:b/>
          <w:noProof/>
        </w:rPr>
        <w:t>nastavitelná výška i šířka, podpůrná polstrovaná deska, polohování držadel, nášlapné brzdy</w:t>
      </w:r>
    </w:p>
    <w:p w:rsidR="000A0BB6" w:rsidRPr="00CC7C10" w:rsidRDefault="000A0BB6" w:rsidP="007670A1">
      <w:pPr>
        <w:jc w:val="both"/>
        <w:rPr>
          <w:rFonts w:ascii="Arial" w:hAnsi="Arial" w:cs="Arial"/>
          <w:b/>
          <w:noProof/>
        </w:rPr>
      </w:pPr>
    </w:p>
    <w:p w:rsidR="007670A1" w:rsidRPr="00CC7C10" w:rsidRDefault="00DB391D" w:rsidP="007670A1">
      <w:pPr>
        <w:jc w:val="both"/>
        <w:rPr>
          <w:rFonts w:ascii="Arial" w:hAnsi="Arial" w:cs="Arial"/>
          <w:b/>
          <w:noProof/>
        </w:rPr>
      </w:pPr>
      <w:r w:rsidRPr="00CC7C10">
        <w:rPr>
          <w:rFonts w:ascii="Arial" w:hAnsi="Arial" w:cs="Arial"/>
          <w:b/>
          <w:noProof/>
        </w:rPr>
        <w:t>5</w:t>
      </w:r>
      <w:r w:rsidR="007670A1" w:rsidRPr="00CC7C10">
        <w:rPr>
          <w:rFonts w:ascii="Arial" w:hAnsi="Arial" w:cs="Arial"/>
          <w:b/>
          <w:noProof/>
        </w:rPr>
        <w:t xml:space="preserve"> ks </w:t>
      </w:r>
      <w:r w:rsidR="00636E43" w:rsidRPr="00CC7C10">
        <w:rPr>
          <w:rFonts w:ascii="Arial" w:hAnsi="Arial" w:cs="Arial"/>
          <w:b/>
          <w:noProof/>
        </w:rPr>
        <w:t>Skládací invalidní vozík standardní</w:t>
      </w:r>
      <w:r w:rsidR="00DC20CB">
        <w:rPr>
          <w:rFonts w:ascii="Arial" w:hAnsi="Arial" w:cs="Arial"/>
          <w:b/>
          <w:noProof/>
        </w:rPr>
        <w:t xml:space="preserve"> - </w:t>
      </w:r>
      <w:r w:rsidR="00CC7C10" w:rsidRPr="00CC7C10">
        <w:rPr>
          <w:rFonts w:ascii="Arial" w:hAnsi="Arial" w:cs="Arial"/>
          <w:b/>
          <w:noProof/>
        </w:rPr>
        <w:t>odklopné a odnímatelné zkosené postranice a podnožky, polstrovaná loketní opěrka, vyztužovací vzpěra opěrky zad, přítlačné (parkovací) brzdy, šíře sed</w:t>
      </w:r>
      <w:r w:rsidR="00DC20CB">
        <w:rPr>
          <w:rFonts w:ascii="Arial" w:hAnsi="Arial" w:cs="Arial"/>
          <w:b/>
          <w:noProof/>
        </w:rPr>
        <w:t>u 46 cm + 18 cm, nosnost 120 kg</w:t>
      </w:r>
    </w:p>
    <w:p w:rsidR="007670A1" w:rsidRPr="007670A1" w:rsidRDefault="007670A1" w:rsidP="007670A1">
      <w:pPr>
        <w:jc w:val="both"/>
        <w:rPr>
          <w:rFonts w:ascii="Arial" w:hAnsi="Arial" w:cs="Arial"/>
          <w:b/>
          <w:noProof/>
        </w:rPr>
      </w:pPr>
    </w:p>
    <w:p w:rsidR="00485FBC" w:rsidRDefault="00485FBC" w:rsidP="004A64E7">
      <w:pPr>
        <w:jc w:val="both"/>
        <w:rPr>
          <w:rFonts w:ascii="Arial" w:hAnsi="Arial" w:cs="Arial"/>
          <w:b/>
          <w:noProof/>
        </w:rPr>
      </w:pPr>
    </w:p>
    <w:p w:rsidR="004A64E7" w:rsidRPr="00060063" w:rsidRDefault="004A64E7" w:rsidP="004A64E7">
      <w:pPr>
        <w:jc w:val="both"/>
        <w:rPr>
          <w:rFonts w:ascii="Arial" w:hAnsi="Arial" w:cs="Arial"/>
        </w:rPr>
      </w:pPr>
      <w:r w:rsidRPr="00060063">
        <w:rPr>
          <w:rFonts w:ascii="Arial" w:hAnsi="Arial" w:cs="Arial"/>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ED4B10" w:rsidRPr="00060063" w:rsidRDefault="00ED4B10">
      <w:pPr>
        <w:tabs>
          <w:tab w:val="left" w:pos="1276"/>
          <w:tab w:val="left" w:pos="2410"/>
        </w:tabs>
        <w:rPr>
          <w:rFonts w:ascii="Arial" w:hAnsi="Arial" w:cs="Arial"/>
          <w:b/>
          <w:u w:val="single"/>
        </w:rPr>
      </w:pPr>
    </w:p>
    <w:p w:rsidR="00ED4B10" w:rsidRPr="00060063" w:rsidRDefault="00ED4B10">
      <w:pPr>
        <w:jc w:val="both"/>
        <w:rPr>
          <w:rFonts w:ascii="Arial" w:hAnsi="Arial" w:cs="Arial"/>
          <w:b/>
          <w:u w:val="single"/>
        </w:rPr>
      </w:pPr>
      <w:r w:rsidRPr="00060063">
        <w:rPr>
          <w:rFonts w:ascii="Arial" w:hAnsi="Arial" w:cs="Arial"/>
          <w:b/>
          <w:u w:val="single"/>
        </w:rPr>
        <w:t>Organizace dodávky zboží</w:t>
      </w:r>
    </w:p>
    <w:p w:rsidR="00ED4B10" w:rsidRPr="00060063" w:rsidRDefault="00ED4B10">
      <w:pPr>
        <w:jc w:val="both"/>
        <w:rPr>
          <w:rFonts w:ascii="Arial" w:hAnsi="Arial" w:cs="Arial"/>
        </w:rPr>
      </w:pPr>
      <w:r w:rsidRPr="00060063">
        <w:rPr>
          <w:rFonts w:ascii="Arial" w:hAnsi="Arial" w:cs="Arial"/>
        </w:rPr>
        <w:t>Kompletní dodávka předmětu pl</w:t>
      </w:r>
      <w:r w:rsidR="004C054A">
        <w:rPr>
          <w:rFonts w:ascii="Arial" w:hAnsi="Arial" w:cs="Arial"/>
        </w:rPr>
        <w:t xml:space="preserve">nění, dokumentace a </w:t>
      </w:r>
      <w:r w:rsidR="00313D39">
        <w:rPr>
          <w:rFonts w:ascii="Arial" w:hAnsi="Arial" w:cs="Arial"/>
        </w:rPr>
        <w:t>montáže</w:t>
      </w:r>
      <w:r w:rsidR="004C054A">
        <w:rPr>
          <w:rFonts w:ascii="Arial" w:hAnsi="Arial" w:cs="Arial"/>
        </w:rPr>
        <w:t>.</w:t>
      </w:r>
    </w:p>
    <w:p w:rsidR="004C27D6" w:rsidRPr="00524BCB" w:rsidRDefault="004C27D6" w:rsidP="004C27D6">
      <w:pPr>
        <w:jc w:val="both"/>
        <w:rPr>
          <w:rFonts w:ascii="Arial" w:hAnsi="Arial" w:cs="Arial"/>
          <w:b/>
        </w:rPr>
      </w:pPr>
    </w:p>
    <w:p w:rsidR="004C27D6" w:rsidRPr="00524BCB" w:rsidRDefault="004C27D6" w:rsidP="0012005A">
      <w:pPr>
        <w:pStyle w:val="Zkladntext2"/>
        <w:jc w:val="both"/>
        <w:rPr>
          <w:rFonts w:ascii="Arial" w:hAnsi="Arial" w:cs="Arial"/>
          <w:b w:val="0"/>
          <w:sz w:val="20"/>
        </w:rPr>
      </w:pPr>
    </w:p>
    <w:p w:rsidR="00ED4B10" w:rsidRPr="00524BCB" w:rsidRDefault="00ED4B10" w:rsidP="004C27D6">
      <w:pPr>
        <w:pStyle w:val="Zkladntext2"/>
        <w:ind w:left="360" w:hanging="360"/>
        <w:jc w:val="both"/>
        <w:rPr>
          <w:rFonts w:ascii="Arial" w:hAnsi="Arial" w:cs="Arial"/>
          <w:sz w:val="20"/>
        </w:rPr>
      </w:pPr>
      <w:r w:rsidRPr="00C34F8F">
        <w:rPr>
          <w:rFonts w:ascii="Arial" w:hAnsi="Arial" w:cs="Arial"/>
          <w:sz w:val="20"/>
          <w:u w:val="single"/>
        </w:rPr>
        <w:t>3. Doba a místo plnění</w:t>
      </w:r>
      <w:r w:rsidRPr="00524BCB">
        <w:rPr>
          <w:rFonts w:ascii="Arial" w:hAnsi="Arial" w:cs="Arial"/>
          <w:b w:val="0"/>
          <w:sz w:val="20"/>
        </w:rPr>
        <w:t>:</w:t>
      </w:r>
    </w:p>
    <w:p w:rsidR="007022CA" w:rsidRPr="00524BCB" w:rsidRDefault="007022CA">
      <w:pPr>
        <w:jc w:val="both"/>
        <w:rPr>
          <w:rFonts w:ascii="Arial" w:hAnsi="Arial" w:cs="Arial"/>
          <w:b/>
          <w:u w:val="single"/>
        </w:rPr>
      </w:pPr>
    </w:p>
    <w:p w:rsidR="00ED4B10" w:rsidRPr="00524BCB" w:rsidRDefault="00ED4B10" w:rsidP="00B56736">
      <w:pPr>
        <w:jc w:val="both"/>
        <w:rPr>
          <w:rFonts w:ascii="Arial" w:hAnsi="Arial" w:cs="Arial"/>
        </w:rPr>
      </w:pPr>
      <w:r w:rsidRPr="00524BCB">
        <w:rPr>
          <w:rFonts w:ascii="Arial" w:hAnsi="Arial" w:cs="Arial"/>
          <w:b/>
          <w:u w:val="single"/>
        </w:rPr>
        <w:t>Doba plnění:</w:t>
      </w:r>
    </w:p>
    <w:p w:rsidR="007D5212" w:rsidRDefault="007D5212" w:rsidP="00B56736">
      <w:pPr>
        <w:pStyle w:val="Zkladntext"/>
        <w:spacing w:before="120"/>
        <w:jc w:val="both"/>
        <w:rPr>
          <w:rFonts w:ascii="Arial" w:hAnsi="Arial" w:cs="Arial"/>
          <w:color w:val="000000"/>
        </w:rPr>
      </w:pPr>
      <w:r w:rsidRPr="00AA0E78">
        <w:rPr>
          <w:rFonts w:ascii="Arial" w:hAnsi="Arial" w:cs="Arial"/>
        </w:rPr>
        <w:t xml:space="preserve">Termín </w:t>
      </w:r>
      <w:r w:rsidR="00D93004">
        <w:rPr>
          <w:rFonts w:ascii="Arial" w:hAnsi="Arial" w:cs="Arial"/>
          <w:color w:val="000000"/>
        </w:rPr>
        <w:t xml:space="preserve">dodání zboží </w:t>
      </w:r>
      <w:r w:rsidRPr="00AA0E78">
        <w:rPr>
          <w:rFonts w:ascii="Arial" w:hAnsi="Arial" w:cs="Arial"/>
          <w:color w:val="000000"/>
        </w:rPr>
        <w:t xml:space="preserve">je </w:t>
      </w:r>
      <w:r w:rsidR="009C06B5" w:rsidRPr="00EF4C6D">
        <w:rPr>
          <w:rFonts w:ascii="Arial" w:hAnsi="Arial" w:cs="Arial"/>
          <w:color w:val="000000"/>
        </w:rPr>
        <w:t xml:space="preserve">nejpozději </w:t>
      </w:r>
      <w:r w:rsidR="00D93004" w:rsidRPr="00D93004">
        <w:rPr>
          <w:rFonts w:ascii="Arial" w:hAnsi="Arial" w:cs="Arial"/>
          <w:color w:val="000000"/>
        </w:rPr>
        <w:t xml:space="preserve">do 25 kalendářních dnů od uzavření smlouvy na sklad </w:t>
      </w:r>
      <w:r w:rsidR="00D93004">
        <w:rPr>
          <w:rFonts w:ascii="Arial" w:hAnsi="Arial" w:cs="Arial"/>
          <w:color w:val="000000"/>
        </w:rPr>
        <w:t>Objednatele. Z</w:t>
      </w:r>
      <w:r w:rsidRPr="00AA0E78">
        <w:rPr>
          <w:rFonts w:ascii="Arial" w:hAnsi="Arial" w:cs="Arial"/>
          <w:color w:val="000000"/>
        </w:rPr>
        <w:t xml:space="preserve">akázku je možno splnit i před </w:t>
      </w:r>
      <w:r w:rsidR="00D93004">
        <w:rPr>
          <w:rFonts w:ascii="Arial" w:hAnsi="Arial" w:cs="Arial"/>
          <w:color w:val="000000"/>
        </w:rPr>
        <w:t xml:space="preserve">výše uvedenými </w:t>
      </w:r>
      <w:r w:rsidRPr="00AA0E78">
        <w:rPr>
          <w:rFonts w:ascii="Arial" w:hAnsi="Arial" w:cs="Arial"/>
          <w:color w:val="000000"/>
        </w:rPr>
        <w:t>termín</w:t>
      </w:r>
      <w:r w:rsidR="00D93004">
        <w:rPr>
          <w:rFonts w:ascii="Arial" w:hAnsi="Arial" w:cs="Arial"/>
          <w:color w:val="000000"/>
        </w:rPr>
        <w:t>y</w:t>
      </w:r>
      <w:r w:rsidRPr="00AA0E78">
        <w:rPr>
          <w:rFonts w:ascii="Arial" w:hAnsi="Arial" w:cs="Arial"/>
          <w:color w:val="000000"/>
        </w:rPr>
        <w:t>.</w:t>
      </w:r>
    </w:p>
    <w:p w:rsidR="00D93004" w:rsidRPr="00823263" w:rsidRDefault="00D93004" w:rsidP="00B56736">
      <w:pPr>
        <w:pStyle w:val="Zkladntext"/>
        <w:spacing w:before="120"/>
        <w:jc w:val="both"/>
        <w:rPr>
          <w:rFonts w:ascii="Arial" w:hAnsi="Arial" w:cs="Arial"/>
          <w:color w:val="FF0000"/>
        </w:rPr>
      </w:pPr>
    </w:p>
    <w:p w:rsidR="00ED4B10" w:rsidRPr="00524BCB" w:rsidRDefault="00ED4B10" w:rsidP="00B56736">
      <w:pPr>
        <w:pStyle w:val="Nadpis1"/>
        <w:jc w:val="both"/>
        <w:rPr>
          <w:rFonts w:ascii="Arial" w:hAnsi="Arial" w:cs="Arial"/>
          <w:b w:val="0"/>
          <w:sz w:val="20"/>
        </w:rPr>
      </w:pPr>
      <w:r w:rsidRPr="00823263">
        <w:rPr>
          <w:rFonts w:ascii="Arial" w:hAnsi="Arial" w:cs="Arial"/>
          <w:sz w:val="20"/>
        </w:rPr>
        <w:t>Místo plnění:</w:t>
      </w:r>
    </w:p>
    <w:p w:rsidR="004C27D6" w:rsidRDefault="00BD7977" w:rsidP="004C27D6">
      <w:pPr>
        <w:jc w:val="both"/>
        <w:rPr>
          <w:rFonts w:ascii="Arial" w:hAnsi="Arial" w:cs="Arial"/>
          <w:b/>
        </w:rPr>
      </w:pPr>
      <w:r w:rsidRPr="00BD7977">
        <w:rPr>
          <w:rFonts w:ascii="Arial" w:hAnsi="Arial" w:cs="Arial"/>
          <w:b/>
        </w:rPr>
        <w:t xml:space="preserve">Místem plnění zakázky je </w:t>
      </w:r>
      <w:r w:rsidR="00636E43">
        <w:rPr>
          <w:rFonts w:ascii="Arial" w:hAnsi="Arial" w:cs="Arial"/>
          <w:b/>
        </w:rPr>
        <w:t>Komenského</w:t>
      </w:r>
      <w:r w:rsidRPr="00BD7977">
        <w:rPr>
          <w:rFonts w:ascii="Arial" w:hAnsi="Arial" w:cs="Arial"/>
          <w:b/>
        </w:rPr>
        <w:t xml:space="preserve"> 137,</w:t>
      </w:r>
      <w:r w:rsidR="00636E43">
        <w:rPr>
          <w:rFonts w:ascii="Arial" w:hAnsi="Arial" w:cs="Arial"/>
          <w:b/>
        </w:rPr>
        <w:t xml:space="preserve"> </w:t>
      </w:r>
      <w:r w:rsidR="00636E43" w:rsidRPr="00087D3B">
        <w:rPr>
          <w:rFonts w:ascii="Arial" w:hAnsi="Arial" w:cs="Arial"/>
          <w:b/>
        </w:rPr>
        <w:t>281 61 Kouřim</w:t>
      </w:r>
      <w:r w:rsidR="00636E43">
        <w:rPr>
          <w:rFonts w:ascii="Arial" w:hAnsi="Arial" w:cs="Arial"/>
          <w:b/>
        </w:rPr>
        <w:t xml:space="preserve">, </w:t>
      </w:r>
      <w:r w:rsidRPr="00BD7977">
        <w:rPr>
          <w:rFonts w:ascii="Arial" w:hAnsi="Arial" w:cs="Arial"/>
          <w:b/>
        </w:rPr>
        <w:t>katastrální území Kouřim [671215], Zapsané u Katastrálního úřadu pro Středočeský kraj, katastrální pracoviště Kolín</w:t>
      </w:r>
      <w:r w:rsidR="00485FBC">
        <w:rPr>
          <w:rFonts w:ascii="Arial" w:hAnsi="Arial" w:cs="Arial"/>
          <w:b/>
        </w:rPr>
        <w:t>.</w:t>
      </w:r>
      <w:r>
        <w:rPr>
          <w:rFonts w:ascii="Arial" w:hAnsi="Arial" w:cs="Arial"/>
          <w:b/>
        </w:rPr>
        <w:t xml:space="preserve"> Místo pro</w:t>
      </w:r>
      <w:r w:rsidR="00747D60" w:rsidRPr="00747D60">
        <w:rPr>
          <w:rFonts w:ascii="Arial" w:hAnsi="Arial" w:cs="Arial"/>
          <w:b/>
        </w:rPr>
        <w:t xml:space="preserve"> </w:t>
      </w:r>
      <w:r>
        <w:rPr>
          <w:rFonts w:ascii="Arial" w:hAnsi="Arial" w:cs="Arial"/>
          <w:b/>
        </w:rPr>
        <w:t xml:space="preserve">dodání </w:t>
      </w:r>
      <w:r w:rsidR="00EA65A9">
        <w:rPr>
          <w:rFonts w:ascii="Arial" w:hAnsi="Arial" w:cs="Arial"/>
          <w:b/>
        </w:rPr>
        <w:t>zboží</w:t>
      </w:r>
      <w:r>
        <w:rPr>
          <w:rFonts w:ascii="Arial" w:hAnsi="Arial" w:cs="Arial"/>
          <w:b/>
        </w:rPr>
        <w:t xml:space="preserve"> je sídlo </w:t>
      </w:r>
      <w:r w:rsidRPr="00087D3B">
        <w:rPr>
          <w:rFonts w:ascii="Arial" w:hAnsi="Arial" w:cs="Arial"/>
          <w:b/>
        </w:rPr>
        <w:t>Objednatele</w:t>
      </w:r>
      <w:r w:rsidR="00A815E1" w:rsidRPr="00087D3B">
        <w:rPr>
          <w:rFonts w:ascii="Arial" w:hAnsi="Arial" w:cs="Arial"/>
          <w:b/>
        </w:rPr>
        <w:t>, G-HELP z.ú. Komenského 209, 281 61 Kouřim</w:t>
      </w:r>
      <w:r w:rsidRPr="00087D3B">
        <w:rPr>
          <w:rFonts w:ascii="Arial" w:hAnsi="Arial" w:cs="Arial"/>
          <w:b/>
        </w:rPr>
        <w:t>,</w:t>
      </w:r>
      <w:r>
        <w:rPr>
          <w:rFonts w:ascii="Arial" w:hAnsi="Arial" w:cs="Arial"/>
          <w:b/>
        </w:rPr>
        <w:t xml:space="preserve"> pokud se smluvní strany nedohodnou jinak.</w:t>
      </w:r>
    </w:p>
    <w:p w:rsidR="00747D60" w:rsidRPr="00524BCB" w:rsidRDefault="00747D60" w:rsidP="004C27D6">
      <w:pPr>
        <w:jc w:val="both"/>
        <w:rPr>
          <w:rFonts w:ascii="Arial" w:hAnsi="Arial" w:cs="Arial"/>
          <w:b/>
        </w:rPr>
      </w:pPr>
    </w:p>
    <w:p w:rsidR="00D967D1" w:rsidRDefault="00ED4B10" w:rsidP="001F130C">
      <w:pPr>
        <w:jc w:val="both"/>
        <w:rPr>
          <w:rFonts w:ascii="Arial" w:hAnsi="Arial" w:cs="Arial"/>
          <w:b/>
          <w:u w:val="single"/>
        </w:rPr>
      </w:pPr>
      <w:r w:rsidRPr="00C34F8F">
        <w:rPr>
          <w:rFonts w:ascii="Arial" w:hAnsi="Arial" w:cs="Arial"/>
          <w:b/>
          <w:u w:val="single"/>
        </w:rPr>
        <w:t xml:space="preserve">4. Cena </w:t>
      </w:r>
    </w:p>
    <w:p w:rsidR="00CC7C10" w:rsidRPr="001F130C" w:rsidRDefault="00CC7C10" w:rsidP="001F130C">
      <w:pPr>
        <w:jc w:val="both"/>
        <w:rPr>
          <w:rFonts w:ascii="Arial" w:hAnsi="Arial" w:cs="Arial"/>
          <w:b/>
          <w:u w:val="single"/>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3"/>
        <w:gridCol w:w="1796"/>
        <w:gridCol w:w="1796"/>
        <w:gridCol w:w="1140"/>
      </w:tblGrid>
      <w:tr w:rsidR="000B6A06" w:rsidRPr="00524BCB" w:rsidTr="00775F94">
        <w:trPr>
          <w:trHeight w:val="435"/>
        </w:trPr>
        <w:tc>
          <w:tcPr>
            <w:tcW w:w="2500" w:type="pct"/>
            <w:shd w:val="clear" w:color="auto" w:fill="BFBFBF"/>
            <w:vAlign w:val="center"/>
          </w:tcPr>
          <w:p w:rsidR="00D967D1" w:rsidRPr="00524BCB" w:rsidRDefault="009C06B5" w:rsidP="000B6A06">
            <w:pPr>
              <w:jc w:val="center"/>
              <w:rPr>
                <w:rFonts w:ascii="Arial" w:hAnsi="Arial" w:cs="Arial"/>
                <w:b/>
              </w:rPr>
            </w:pPr>
            <w:r w:rsidRPr="00524BCB">
              <w:rPr>
                <w:rFonts w:ascii="Arial" w:hAnsi="Arial" w:cs="Arial"/>
                <w:b/>
              </w:rPr>
              <w:t>Název položky</w:t>
            </w:r>
          </w:p>
        </w:tc>
        <w:tc>
          <w:tcPr>
            <w:tcW w:w="949"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Bez DPH</w:t>
            </w:r>
          </w:p>
        </w:tc>
        <w:tc>
          <w:tcPr>
            <w:tcW w:w="949" w:type="pct"/>
            <w:shd w:val="clear" w:color="auto" w:fill="BFBFBF"/>
            <w:vAlign w:val="center"/>
          </w:tcPr>
          <w:p w:rsidR="00D967D1" w:rsidRPr="00524BCB" w:rsidRDefault="00D967D1" w:rsidP="000B6A06">
            <w:pPr>
              <w:jc w:val="center"/>
              <w:rPr>
                <w:rFonts w:ascii="Arial" w:hAnsi="Arial" w:cs="Arial"/>
                <w:b/>
              </w:rPr>
            </w:pPr>
            <w:r w:rsidRPr="00636E43">
              <w:rPr>
                <w:rFonts w:ascii="Arial" w:hAnsi="Arial" w:cs="Arial"/>
                <w:b/>
              </w:rPr>
              <w:t>DPH 2</w:t>
            </w:r>
            <w:r w:rsidR="00E309FC" w:rsidRPr="00636E43">
              <w:rPr>
                <w:rFonts w:ascii="Arial" w:hAnsi="Arial" w:cs="Arial"/>
                <w:b/>
              </w:rPr>
              <w:t>1</w:t>
            </w:r>
            <w:r w:rsidRPr="00636E43">
              <w:rPr>
                <w:rFonts w:ascii="Arial" w:hAnsi="Arial" w:cs="Arial"/>
                <w:b/>
              </w:rPr>
              <w:t xml:space="preserve"> %</w:t>
            </w:r>
          </w:p>
        </w:tc>
        <w:tc>
          <w:tcPr>
            <w:tcW w:w="602" w:type="pct"/>
            <w:shd w:val="clear" w:color="auto" w:fill="BFBFBF"/>
            <w:vAlign w:val="center"/>
          </w:tcPr>
          <w:p w:rsidR="00D967D1" w:rsidRPr="00524BCB" w:rsidRDefault="00D967D1" w:rsidP="000B6A06">
            <w:pPr>
              <w:jc w:val="center"/>
              <w:rPr>
                <w:rFonts w:ascii="Arial" w:hAnsi="Arial" w:cs="Arial"/>
                <w:b/>
              </w:rPr>
            </w:pPr>
            <w:r w:rsidRPr="00524BCB">
              <w:rPr>
                <w:rFonts w:ascii="Arial" w:hAnsi="Arial" w:cs="Arial"/>
                <w:b/>
              </w:rPr>
              <w:t>vč. DPH</w:t>
            </w:r>
          </w:p>
        </w:tc>
      </w:tr>
      <w:tr w:rsidR="00CF00F9" w:rsidRPr="00524BCB" w:rsidTr="00CC7C10">
        <w:trPr>
          <w:trHeight w:hRule="exact" w:val="1215"/>
        </w:trPr>
        <w:tc>
          <w:tcPr>
            <w:tcW w:w="2500" w:type="pct"/>
            <w:vAlign w:val="center"/>
          </w:tcPr>
          <w:p w:rsidR="00EA65A9" w:rsidRPr="007670A1" w:rsidRDefault="00EA65A9" w:rsidP="00EA65A9">
            <w:pPr>
              <w:jc w:val="both"/>
              <w:rPr>
                <w:rFonts w:ascii="Arial" w:hAnsi="Arial" w:cs="Arial"/>
                <w:b/>
                <w:noProof/>
              </w:rPr>
            </w:pPr>
            <w:r w:rsidRPr="007670A1">
              <w:rPr>
                <w:rFonts w:ascii="Arial" w:hAnsi="Arial" w:cs="Arial"/>
                <w:b/>
                <w:noProof/>
              </w:rPr>
              <w:t xml:space="preserve">1 ks </w:t>
            </w:r>
            <w:r w:rsidR="00DC20CB">
              <w:rPr>
                <w:rFonts w:ascii="Arial" w:hAnsi="Arial" w:cs="Arial"/>
                <w:b/>
                <w:noProof/>
              </w:rPr>
              <w:t xml:space="preserve">Elektrický pojízdný zvedák - </w:t>
            </w:r>
            <w:r w:rsidR="00CC7C10" w:rsidRPr="00CC7C10">
              <w:rPr>
                <w:rFonts w:ascii="Arial" w:hAnsi="Arial" w:cs="Arial"/>
                <w:b/>
                <w:noProof/>
              </w:rPr>
              <w:t>nastavení podvozku pákou, indikátor stavu baterie, mechanicky rozevíratelná základna, pojezdová vyměnitelná kolečka s brzdou, pacientský vak</w:t>
            </w:r>
            <w:r w:rsidR="00DC20CB">
              <w:rPr>
                <w:rFonts w:ascii="Arial" w:hAnsi="Arial" w:cs="Arial"/>
                <w:b/>
                <w:noProof/>
              </w:rPr>
              <w:t xml:space="preserve"> s oporou hlavy, nosnost 200 kg</w:t>
            </w:r>
          </w:p>
          <w:p w:rsidR="006B54B7" w:rsidRPr="007670A1" w:rsidRDefault="006B54B7" w:rsidP="006B54B7">
            <w:pPr>
              <w:jc w:val="both"/>
              <w:rPr>
                <w:rFonts w:ascii="Arial" w:hAnsi="Arial" w:cs="Arial"/>
                <w:b/>
                <w:noProof/>
              </w:rPr>
            </w:pPr>
          </w:p>
          <w:p w:rsidR="00CF00F9" w:rsidRPr="007670A1" w:rsidRDefault="00CF00F9" w:rsidP="00A52410">
            <w:pPr>
              <w:jc w:val="both"/>
              <w:rPr>
                <w:rFonts w:ascii="Arial" w:hAnsi="Arial" w:cs="Arial"/>
                <w:b/>
                <w:noProof/>
              </w:rPr>
            </w:pPr>
          </w:p>
        </w:tc>
        <w:tc>
          <w:tcPr>
            <w:tcW w:w="949" w:type="pct"/>
            <w:vAlign w:val="center"/>
          </w:tcPr>
          <w:p w:rsidR="00CF00F9" w:rsidRPr="004215EC" w:rsidRDefault="00CF00F9" w:rsidP="00EC4C19">
            <w:pPr>
              <w:jc w:val="center"/>
              <w:rPr>
                <w:rFonts w:ascii="Arial" w:hAnsi="Arial" w:cs="Arial"/>
                <w:b/>
                <w:highlight w:val="yellow"/>
              </w:rPr>
            </w:pPr>
          </w:p>
        </w:tc>
        <w:tc>
          <w:tcPr>
            <w:tcW w:w="949" w:type="pct"/>
            <w:vAlign w:val="center"/>
          </w:tcPr>
          <w:p w:rsidR="00CF00F9" w:rsidRPr="004215EC" w:rsidRDefault="00CF00F9" w:rsidP="00EC4C19">
            <w:pPr>
              <w:jc w:val="center"/>
              <w:rPr>
                <w:rFonts w:ascii="Arial" w:hAnsi="Arial" w:cs="Arial"/>
                <w:b/>
                <w:highlight w:val="yellow"/>
              </w:rPr>
            </w:pPr>
          </w:p>
        </w:tc>
        <w:tc>
          <w:tcPr>
            <w:tcW w:w="602" w:type="pct"/>
            <w:vAlign w:val="center"/>
          </w:tcPr>
          <w:p w:rsidR="00CF00F9" w:rsidRPr="004215EC" w:rsidRDefault="00CF00F9" w:rsidP="009C06B5">
            <w:pPr>
              <w:rPr>
                <w:rFonts w:ascii="Arial" w:hAnsi="Arial" w:cs="Arial"/>
                <w:b/>
                <w:highlight w:val="yellow"/>
              </w:rPr>
            </w:pPr>
          </w:p>
        </w:tc>
      </w:tr>
      <w:tr w:rsidR="000B6A06" w:rsidRPr="00524BCB" w:rsidTr="00CC7C10">
        <w:trPr>
          <w:trHeight w:hRule="exact" w:val="1142"/>
        </w:trPr>
        <w:tc>
          <w:tcPr>
            <w:tcW w:w="2500" w:type="pct"/>
            <w:vAlign w:val="center"/>
          </w:tcPr>
          <w:p w:rsidR="00E71820" w:rsidRPr="007670A1" w:rsidRDefault="00837C75" w:rsidP="00DC20CB">
            <w:pPr>
              <w:jc w:val="both"/>
              <w:rPr>
                <w:rFonts w:ascii="Arial" w:hAnsi="Arial" w:cs="Arial"/>
                <w:b/>
                <w:noProof/>
              </w:rPr>
            </w:pPr>
            <w:r>
              <w:rPr>
                <w:rFonts w:ascii="Arial" w:hAnsi="Arial" w:cs="Arial"/>
                <w:b/>
                <w:noProof/>
              </w:rPr>
              <w:t>8</w:t>
            </w:r>
            <w:r w:rsidR="00EA65A9" w:rsidRPr="007670A1">
              <w:rPr>
                <w:rFonts w:ascii="Arial" w:hAnsi="Arial" w:cs="Arial"/>
                <w:b/>
                <w:noProof/>
              </w:rPr>
              <w:t xml:space="preserve"> ks </w:t>
            </w:r>
            <w:r w:rsidR="00636E43" w:rsidRPr="00636E43">
              <w:rPr>
                <w:rFonts w:ascii="Arial" w:hAnsi="Arial" w:cs="Arial"/>
                <w:b/>
                <w:noProof/>
              </w:rPr>
              <w:t>Toaletní a sprchové pojízdné křeslo</w:t>
            </w:r>
            <w:r w:rsidR="00DC20CB">
              <w:rPr>
                <w:rFonts w:ascii="Arial" w:hAnsi="Arial" w:cs="Arial"/>
                <w:b/>
                <w:noProof/>
              </w:rPr>
              <w:t xml:space="preserve"> - </w:t>
            </w:r>
            <w:r w:rsidR="00CC7C10" w:rsidRPr="00CC7C10">
              <w:rPr>
                <w:rFonts w:ascii="Arial" w:hAnsi="Arial" w:cs="Arial"/>
                <w:b/>
                <w:noProof/>
              </w:rPr>
              <w:t>výška sedu 55 cm, nosnost 130 kg, brzdy na všech kolech, odklopné podnožky a loketní opěrky, polstrovaný sedák s odnímatelným výřezem</w:t>
            </w:r>
          </w:p>
        </w:tc>
        <w:tc>
          <w:tcPr>
            <w:tcW w:w="949" w:type="pct"/>
            <w:vAlign w:val="center"/>
          </w:tcPr>
          <w:p w:rsidR="00E71820" w:rsidRPr="004215EC" w:rsidRDefault="00E71820" w:rsidP="00EC4C19">
            <w:pPr>
              <w:jc w:val="center"/>
              <w:rPr>
                <w:rFonts w:ascii="Arial" w:hAnsi="Arial" w:cs="Arial"/>
                <w:b/>
                <w:highlight w:val="yellow"/>
              </w:rPr>
            </w:pPr>
          </w:p>
        </w:tc>
        <w:tc>
          <w:tcPr>
            <w:tcW w:w="949" w:type="pct"/>
            <w:vAlign w:val="center"/>
          </w:tcPr>
          <w:p w:rsidR="00E71820" w:rsidRPr="004215EC" w:rsidRDefault="00E71820" w:rsidP="00EC4C19">
            <w:pPr>
              <w:jc w:val="center"/>
              <w:rPr>
                <w:rFonts w:ascii="Arial" w:hAnsi="Arial" w:cs="Arial"/>
                <w:b/>
                <w:highlight w:val="yellow"/>
              </w:rPr>
            </w:pPr>
          </w:p>
        </w:tc>
        <w:tc>
          <w:tcPr>
            <w:tcW w:w="602" w:type="pct"/>
            <w:vAlign w:val="center"/>
          </w:tcPr>
          <w:p w:rsidR="00E71820" w:rsidRPr="004215EC" w:rsidRDefault="00E71820" w:rsidP="009C06B5">
            <w:pPr>
              <w:rPr>
                <w:rFonts w:ascii="Arial" w:hAnsi="Arial" w:cs="Arial"/>
                <w:b/>
                <w:highlight w:val="yellow"/>
              </w:rPr>
            </w:pPr>
          </w:p>
        </w:tc>
      </w:tr>
      <w:tr w:rsidR="006B54B7" w:rsidRPr="00524BCB" w:rsidTr="00CC7C10">
        <w:trPr>
          <w:trHeight w:hRule="exact" w:val="724"/>
        </w:trPr>
        <w:tc>
          <w:tcPr>
            <w:tcW w:w="2500" w:type="pct"/>
            <w:vAlign w:val="center"/>
          </w:tcPr>
          <w:p w:rsidR="00CC7C10" w:rsidRPr="00CC7C10" w:rsidRDefault="00837C75" w:rsidP="00CC7C10">
            <w:pPr>
              <w:jc w:val="both"/>
              <w:rPr>
                <w:rFonts w:ascii="Arial" w:hAnsi="Arial" w:cs="Arial"/>
                <w:b/>
                <w:noProof/>
              </w:rPr>
            </w:pPr>
            <w:r>
              <w:rPr>
                <w:rFonts w:ascii="Arial" w:hAnsi="Arial" w:cs="Arial"/>
                <w:b/>
                <w:noProof/>
              </w:rPr>
              <w:t>3</w:t>
            </w:r>
            <w:r w:rsidR="00CC7C10" w:rsidRPr="00CC7C10">
              <w:rPr>
                <w:rFonts w:ascii="Arial" w:hAnsi="Arial" w:cs="Arial"/>
                <w:b/>
                <w:noProof/>
              </w:rPr>
              <w:t xml:space="preserve"> ks </w:t>
            </w:r>
            <w:r w:rsidR="00DC20CB">
              <w:rPr>
                <w:rFonts w:ascii="Arial" w:hAnsi="Arial" w:cs="Arial"/>
                <w:b/>
                <w:noProof/>
              </w:rPr>
              <w:t xml:space="preserve">Chodítko - </w:t>
            </w:r>
            <w:r w:rsidR="00CC7C10" w:rsidRPr="00CC7C10">
              <w:rPr>
                <w:rFonts w:ascii="Arial" w:hAnsi="Arial" w:cs="Arial"/>
                <w:b/>
                <w:noProof/>
              </w:rPr>
              <w:t>nastavitelná výška i šířka, podpůrná polstrovaná deska, polohování držadel, nášlapné brzdy</w:t>
            </w:r>
          </w:p>
          <w:p w:rsidR="006B54B7" w:rsidRPr="007670A1" w:rsidRDefault="006B54B7" w:rsidP="001D0547">
            <w:pPr>
              <w:rPr>
                <w:rFonts w:ascii="Arial" w:hAnsi="Arial" w:cs="Arial"/>
                <w:b/>
                <w:noProof/>
              </w:rPr>
            </w:pPr>
          </w:p>
        </w:tc>
        <w:tc>
          <w:tcPr>
            <w:tcW w:w="949" w:type="pct"/>
            <w:vAlign w:val="center"/>
          </w:tcPr>
          <w:p w:rsidR="006B54B7" w:rsidRPr="004215EC" w:rsidRDefault="006B54B7" w:rsidP="00EC4C19">
            <w:pPr>
              <w:jc w:val="center"/>
              <w:rPr>
                <w:rFonts w:ascii="Arial" w:hAnsi="Arial" w:cs="Arial"/>
                <w:b/>
                <w:highlight w:val="yellow"/>
              </w:rPr>
            </w:pPr>
          </w:p>
        </w:tc>
        <w:tc>
          <w:tcPr>
            <w:tcW w:w="949" w:type="pct"/>
            <w:vAlign w:val="center"/>
          </w:tcPr>
          <w:p w:rsidR="006B54B7" w:rsidRPr="004215EC" w:rsidRDefault="006B54B7" w:rsidP="00EC4C19">
            <w:pPr>
              <w:jc w:val="center"/>
              <w:rPr>
                <w:rFonts w:ascii="Arial" w:hAnsi="Arial" w:cs="Arial"/>
                <w:b/>
                <w:highlight w:val="yellow"/>
              </w:rPr>
            </w:pPr>
          </w:p>
        </w:tc>
        <w:tc>
          <w:tcPr>
            <w:tcW w:w="602" w:type="pct"/>
            <w:vAlign w:val="center"/>
          </w:tcPr>
          <w:p w:rsidR="006B54B7" w:rsidRPr="004215EC" w:rsidRDefault="006B54B7" w:rsidP="009C06B5">
            <w:pPr>
              <w:rPr>
                <w:rFonts w:ascii="Arial" w:hAnsi="Arial" w:cs="Arial"/>
                <w:b/>
                <w:highlight w:val="yellow"/>
              </w:rPr>
            </w:pPr>
          </w:p>
        </w:tc>
      </w:tr>
      <w:tr w:rsidR="006B54B7" w:rsidRPr="00524BCB" w:rsidTr="00CC7C10">
        <w:trPr>
          <w:trHeight w:hRule="exact" w:val="1415"/>
        </w:trPr>
        <w:tc>
          <w:tcPr>
            <w:tcW w:w="2500" w:type="pct"/>
            <w:vAlign w:val="center"/>
          </w:tcPr>
          <w:p w:rsidR="00CC7C10" w:rsidRPr="00CC7C10" w:rsidRDefault="00CC7C10" w:rsidP="00DC20CB">
            <w:pPr>
              <w:jc w:val="both"/>
              <w:rPr>
                <w:rFonts w:ascii="Arial" w:hAnsi="Arial" w:cs="Arial"/>
                <w:b/>
                <w:noProof/>
              </w:rPr>
            </w:pPr>
            <w:r>
              <w:rPr>
                <w:rFonts w:ascii="Arial" w:hAnsi="Arial" w:cs="Arial"/>
                <w:b/>
                <w:noProof/>
              </w:rPr>
              <w:lastRenderedPageBreak/>
              <w:t>5 ks Skládací invalidní v</w:t>
            </w:r>
            <w:r w:rsidR="00DC20CB">
              <w:rPr>
                <w:rFonts w:ascii="Arial" w:hAnsi="Arial" w:cs="Arial"/>
                <w:b/>
                <w:noProof/>
              </w:rPr>
              <w:t xml:space="preserve">ozík standardní </w:t>
            </w:r>
            <w:r w:rsidR="00DC20CB">
              <w:rPr>
                <w:rFonts w:ascii="Arial" w:hAnsi="Arial" w:cs="Arial"/>
                <w:b/>
                <w:noProof/>
              </w:rPr>
              <w:br/>
              <w:t xml:space="preserve">- </w:t>
            </w:r>
            <w:r w:rsidRPr="00CC7C10">
              <w:rPr>
                <w:rFonts w:ascii="Arial" w:hAnsi="Arial" w:cs="Arial"/>
                <w:b/>
                <w:noProof/>
              </w:rPr>
              <w:t xml:space="preserve">odklopné a odnímatelné zkosené postranice </w:t>
            </w:r>
            <w:r w:rsidR="00DC20CB">
              <w:rPr>
                <w:rFonts w:ascii="Arial" w:hAnsi="Arial" w:cs="Arial"/>
                <w:b/>
                <w:noProof/>
              </w:rPr>
              <w:br/>
            </w:r>
            <w:r w:rsidRPr="00CC7C10">
              <w:rPr>
                <w:rFonts w:ascii="Arial" w:hAnsi="Arial" w:cs="Arial"/>
                <w:b/>
                <w:noProof/>
              </w:rPr>
              <w:t>a podnožky, polstrovaná loketní opěrka, vyztužovací vzpěra opěrky zad, přítlačné (parkovací) brzdy, šíře sed</w:t>
            </w:r>
            <w:r w:rsidR="00DC20CB">
              <w:rPr>
                <w:rFonts w:ascii="Arial" w:hAnsi="Arial" w:cs="Arial"/>
                <w:b/>
                <w:noProof/>
              </w:rPr>
              <w:t>u 46 cm + 18 cm, nosnost 120 kg</w:t>
            </w:r>
          </w:p>
          <w:p w:rsidR="00EA65A9" w:rsidRPr="007670A1" w:rsidRDefault="00EA65A9" w:rsidP="009F40EE">
            <w:pPr>
              <w:rPr>
                <w:rFonts w:ascii="Arial" w:hAnsi="Arial" w:cs="Arial"/>
                <w:b/>
                <w:noProof/>
              </w:rPr>
            </w:pPr>
          </w:p>
          <w:p w:rsidR="006B54B7" w:rsidRPr="007670A1" w:rsidRDefault="006B54B7" w:rsidP="00262451">
            <w:pPr>
              <w:jc w:val="both"/>
              <w:rPr>
                <w:rFonts w:ascii="Arial" w:hAnsi="Arial" w:cs="Arial"/>
                <w:b/>
                <w:noProof/>
              </w:rPr>
            </w:pPr>
          </w:p>
        </w:tc>
        <w:tc>
          <w:tcPr>
            <w:tcW w:w="949" w:type="pct"/>
            <w:vAlign w:val="center"/>
          </w:tcPr>
          <w:p w:rsidR="006B54B7" w:rsidRPr="004215EC" w:rsidRDefault="006B54B7" w:rsidP="00EC4C19">
            <w:pPr>
              <w:jc w:val="center"/>
              <w:rPr>
                <w:rFonts w:ascii="Arial" w:hAnsi="Arial" w:cs="Arial"/>
                <w:b/>
                <w:highlight w:val="yellow"/>
              </w:rPr>
            </w:pPr>
          </w:p>
        </w:tc>
        <w:tc>
          <w:tcPr>
            <w:tcW w:w="949" w:type="pct"/>
            <w:vAlign w:val="center"/>
          </w:tcPr>
          <w:p w:rsidR="006B54B7" w:rsidRPr="004215EC" w:rsidRDefault="006B54B7" w:rsidP="00EC4C19">
            <w:pPr>
              <w:jc w:val="center"/>
              <w:rPr>
                <w:rFonts w:ascii="Arial" w:hAnsi="Arial" w:cs="Arial"/>
                <w:b/>
                <w:highlight w:val="yellow"/>
              </w:rPr>
            </w:pPr>
          </w:p>
        </w:tc>
        <w:tc>
          <w:tcPr>
            <w:tcW w:w="602" w:type="pct"/>
            <w:vAlign w:val="center"/>
          </w:tcPr>
          <w:p w:rsidR="006B54B7" w:rsidRPr="004215EC" w:rsidRDefault="006B54B7" w:rsidP="009C06B5">
            <w:pPr>
              <w:rPr>
                <w:rFonts w:ascii="Arial" w:hAnsi="Arial" w:cs="Arial"/>
                <w:b/>
                <w:highlight w:val="yellow"/>
              </w:rPr>
            </w:pPr>
          </w:p>
        </w:tc>
      </w:tr>
      <w:tr w:rsidR="000B6A06" w:rsidRPr="00524BCB" w:rsidTr="00775F94">
        <w:trPr>
          <w:trHeight w:hRule="exact" w:val="567"/>
        </w:trPr>
        <w:tc>
          <w:tcPr>
            <w:tcW w:w="2500" w:type="pct"/>
            <w:vAlign w:val="center"/>
          </w:tcPr>
          <w:p w:rsidR="009C06B5" w:rsidRPr="00524BCB" w:rsidRDefault="009C06B5" w:rsidP="009C06B5">
            <w:pPr>
              <w:jc w:val="both"/>
              <w:rPr>
                <w:rFonts w:ascii="Arial" w:hAnsi="Arial" w:cs="Arial"/>
                <w:b/>
                <w:noProof/>
              </w:rPr>
            </w:pPr>
            <w:r w:rsidRPr="00524BCB">
              <w:rPr>
                <w:rFonts w:ascii="Arial" w:hAnsi="Arial" w:cs="Arial"/>
                <w:b/>
                <w:noProof/>
              </w:rPr>
              <w:t>CENA CELKEM</w:t>
            </w:r>
          </w:p>
        </w:tc>
        <w:tc>
          <w:tcPr>
            <w:tcW w:w="949" w:type="pct"/>
            <w:vAlign w:val="center"/>
          </w:tcPr>
          <w:p w:rsidR="009C06B5" w:rsidRPr="004215EC" w:rsidRDefault="009C06B5" w:rsidP="00EC4C19">
            <w:pPr>
              <w:jc w:val="center"/>
              <w:rPr>
                <w:rFonts w:ascii="Arial" w:hAnsi="Arial" w:cs="Arial"/>
                <w:b/>
                <w:highlight w:val="yellow"/>
              </w:rPr>
            </w:pPr>
          </w:p>
        </w:tc>
        <w:tc>
          <w:tcPr>
            <w:tcW w:w="949" w:type="pct"/>
            <w:vAlign w:val="center"/>
          </w:tcPr>
          <w:p w:rsidR="009C06B5" w:rsidRPr="004215EC" w:rsidRDefault="009C06B5" w:rsidP="00EC4C19">
            <w:pPr>
              <w:jc w:val="center"/>
              <w:rPr>
                <w:rFonts w:ascii="Arial" w:hAnsi="Arial" w:cs="Arial"/>
                <w:b/>
                <w:highlight w:val="yellow"/>
              </w:rPr>
            </w:pPr>
          </w:p>
        </w:tc>
        <w:tc>
          <w:tcPr>
            <w:tcW w:w="602" w:type="pct"/>
            <w:vAlign w:val="center"/>
          </w:tcPr>
          <w:p w:rsidR="009C06B5" w:rsidRPr="004215EC" w:rsidRDefault="009C06B5" w:rsidP="009C06B5">
            <w:pPr>
              <w:rPr>
                <w:rFonts w:ascii="Arial" w:hAnsi="Arial" w:cs="Arial"/>
                <w:b/>
                <w:highlight w:val="yellow"/>
              </w:rPr>
            </w:pPr>
          </w:p>
        </w:tc>
      </w:tr>
    </w:tbl>
    <w:p w:rsidR="00D967D1" w:rsidRPr="00524BCB" w:rsidRDefault="00D967D1" w:rsidP="00D967D1">
      <w:pPr>
        <w:rPr>
          <w:rFonts w:ascii="Arial" w:hAnsi="Arial" w:cs="Arial"/>
        </w:rPr>
      </w:pPr>
    </w:p>
    <w:p w:rsidR="00ED4B10" w:rsidRPr="00524BCB" w:rsidRDefault="00ED4B10" w:rsidP="00612329">
      <w:pPr>
        <w:jc w:val="both"/>
        <w:rPr>
          <w:rFonts w:ascii="Arial" w:hAnsi="Arial" w:cs="Arial"/>
        </w:rPr>
      </w:pPr>
      <w:r w:rsidRPr="00524BCB">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Default="00DD5BBC" w:rsidP="00612329">
      <w:pPr>
        <w:jc w:val="both"/>
        <w:rPr>
          <w:rFonts w:ascii="Arial" w:hAnsi="Arial" w:cs="Arial"/>
        </w:rPr>
      </w:pPr>
      <w:r w:rsidRPr="00524BCB">
        <w:rPr>
          <w:rFonts w:ascii="Arial" w:hAnsi="Arial" w:cs="Arial"/>
        </w:rPr>
        <w:t>Překročení ceny předmětu plnění je možné pouze v souvislosti se změnou daňových předpisů.</w:t>
      </w:r>
    </w:p>
    <w:p w:rsidR="00EF17F7" w:rsidRDefault="00EF17F7" w:rsidP="00C21D5F">
      <w:pPr>
        <w:rPr>
          <w:rFonts w:ascii="Arial" w:hAnsi="Arial" w:cs="Arial"/>
          <w:b/>
          <w:u w:val="single"/>
        </w:rPr>
      </w:pPr>
    </w:p>
    <w:p w:rsidR="00EF17F7" w:rsidRDefault="00EF17F7" w:rsidP="00C21D5F">
      <w:pPr>
        <w:rPr>
          <w:rFonts w:ascii="Arial" w:hAnsi="Arial" w:cs="Arial"/>
          <w:b/>
          <w:u w:val="single"/>
        </w:rPr>
      </w:pPr>
    </w:p>
    <w:p w:rsidR="00C57E5D" w:rsidRPr="00524BCB" w:rsidRDefault="00ED4B10" w:rsidP="00C21D5F">
      <w:pPr>
        <w:rPr>
          <w:rFonts w:ascii="Arial" w:hAnsi="Arial" w:cs="Arial"/>
        </w:rPr>
      </w:pPr>
      <w:r w:rsidRPr="00524BCB">
        <w:rPr>
          <w:rFonts w:ascii="Arial" w:hAnsi="Arial" w:cs="Arial"/>
          <w:b/>
          <w:u w:val="single"/>
        </w:rPr>
        <w:t>5. Platební podmínky:</w:t>
      </w:r>
      <w:r w:rsidRPr="00524BCB">
        <w:rPr>
          <w:rFonts w:ascii="Arial" w:hAnsi="Arial" w:cs="Arial"/>
        </w:rPr>
        <w:tab/>
      </w:r>
    </w:p>
    <w:p w:rsidR="008C6EEA" w:rsidRPr="00BD7977" w:rsidRDefault="008C6EEA" w:rsidP="008C6EEA">
      <w:pPr>
        <w:spacing w:before="120" w:line="240" w:lineRule="atLeast"/>
        <w:ind w:firstLine="284"/>
        <w:jc w:val="both"/>
        <w:rPr>
          <w:rFonts w:ascii="Arial" w:hAnsi="Arial" w:cs="Arial"/>
        </w:rPr>
      </w:pPr>
      <w:r>
        <w:rPr>
          <w:rFonts w:ascii="Arial" w:hAnsi="Arial" w:cs="Arial"/>
        </w:rPr>
        <w:t xml:space="preserve">Zboží dle smlouvy bude uhrazeno po dodání na základě vystaveného daňového dokladu. Splatnost je </w:t>
      </w:r>
      <w:r w:rsidRPr="00772532">
        <w:rPr>
          <w:rFonts w:ascii="Arial" w:hAnsi="Arial" w:cs="Arial"/>
        </w:rPr>
        <w:t>30 dnů</w:t>
      </w:r>
      <w:r>
        <w:rPr>
          <w:rFonts w:ascii="Arial" w:hAnsi="Arial" w:cs="Arial"/>
        </w:rPr>
        <w:t xml:space="preserve"> od </w:t>
      </w:r>
      <w:r w:rsidRPr="00BD7977">
        <w:rPr>
          <w:rFonts w:ascii="Arial" w:hAnsi="Arial" w:cs="Arial"/>
        </w:rPr>
        <w:t>doručení daňového dokladu</w:t>
      </w:r>
      <w:r w:rsidR="00313D39">
        <w:rPr>
          <w:rFonts w:ascii="Arial" w:hAnsi="Arial" w:cs="Arial"/>
        </w:rPr>
        <w:t>, pokud se smluvní strany nedohodnou jinak</w:t>
      </w:r>
      <w:r w:rsidRPr="00BD7977">
        <w:rPr>
          <w:rFonts w:ascii="Arial" w:hAnsi="Arial" w:cs="Arial"/>
        </w:rPr>
        <w:t>.</w:t>
      </w:r>
      <w:r w:rsidR="00313D39">
        <w:rPr>
          <w:rFonts w:ascii="Arial" w:hAnsi="Arial" w:cs="Arial"/>
        </w:rPr>
        <w:t xml:space="preserve"> V případě dohody smluvních stran je možné fakturaci rozdělit tak, že bude fakturace </w:t>
      </w:r>
      <w:r w:rsidR="00313D39" w:rsidRPr="00772532">
        <w:rPr>
          <w:rFonts w:ascii="Arial" w:hAnsi="Arial" w:cs="Arial"/>
        </w:rPr>
        <w:t>po částe</w:t>
      </w:r>
      <w:r w:rsidR="00772532" w:rsidRPr="00772532">
        <w:rPr>
          <w:rFonts w:ascii="Arial" w:hAnsi="Arial" w:cs="Arial"/>
        </w:rPr>
        <w:t>ch</w:t>
      </w:r>
      <w:r w:rsidR="00313D39">
        <w:rPr>
          <w:rFonts w:ascii="Arial" w:hAnsi="Arial" w:cs="Arial"/>
        </w:rPr>
        <w:t>, ale vždy po dodání zboží. Objednatel nebude poskytovat na dodání zboží zálohy.</w:t>
      </w:r>
    </w:p>
    <w:p w:rsidR="002D2333" w:rsidRPr="006D12C2" w:rsidRDefault="008C6EEA" w:rsidP="002D2333">
      <w:pPr>
        <w:spacing w:before="120" w:line="240" w:lineRule="atLeast"/>
        <w:jc w:val="both"/>
        <w:rPr>
          <w:rFonts w:ascii="Arial" w:hAnsi="Arial" w:cs="Arial"/>
        </w:rPr>
      </w:pPr>
      <w:r w:rsidRPr="00BD7977">
        <w:rPr>
          <w:rFonts w:ascii="Arial" w:hAnsi="Arial" w:cs="Arial"/>
        </w:rPr>
        <w:t>Faktura musí být doručena kupujícímu nejpozději do 5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r w:rsidR="00EF17F7" w:rsidRPr="00BD7977">
        <w:rPr>
          <w:rFonts w:ascii="Arial" w:hAnsi="Arial" w:cs="Arial"/>
        </w:rPr>
        <w:t xml:space="preserve"> </w:t>
      </w:r>
      <w:r w:rsidR="000B6A06" w:rsidRPr="00BD7977">
        <w:rPr>
          <w:rFonts w:ascii="Arial" w:hAnsi="Arial" w:cs="Arial"/>
        </w:rPr>
        <w:t xml:space="preserve">Na veškerých fakturách bude uvedeno registrační číslo projektu </w:t>
      </w:r>
      <w:r w:rsidR="002D2333" w:rsidRPr="00BD7977">
        <w:rPr>
          <w:rFonts w:ascii="Arial" w:hAnsi="Arial" w:cs="Arial"/>
          <w:b/>
        </w:rPr>
        <w:t>013D313004201</w:t>
      </w:r>
      <w:r w:rsidR="002D2333" w:rsidRPr="00BD7977">
        <w:rPr>
          <w:rFonts w:ascii="Arial" w:hAnsi="Arial" w:cs="Arial"/>
        </w:rPr>
        <w:t xml:space="preserve"> a název projektu: </w:t>
      </w:r>
      <w:r w:rsidR="002D2333" w:rsidRPr="00BD7977">
        <w:rPr>
          <w:rFonts w:ascii="Arial" w:hAnsi="Arial" w:cs="Arial"/>
          <w:b/>
          <w:bCs/>
        </w:rPr>
        <w:t>Přístavba nové budovy domova</w:t>
      </w:r>
      <w:r w:rsidR="002D2333" w:rsidRPr="00BD7977">
        <w:rPr>
          <w:rFonts w:ascii="Arial" w:hAnsi="Arial" w:cs="Arial"/>
        </w:rPr>
        <w:t>.</w:t>
      </w:r>
    </w:p>
    <w:p w:rsidR="004A489D" w:rsidRDefault="004A489D">
      <w:pPr>
        <w:rPr>
          <w:rFonts w:ascii="Arial" w:hAnsi="Arial" w:cs="Arial"/>
          <w:b/>
          <w:u w:val="single"/>
        </w:rPr>
      </w:pPr>
    </w:p>
    <w:p w:rsidR="002D2333" w:rsidRPr="00524BCB" w:rsidRDefault="002D2333">
      <w:pPr>
        <w:rPr>
          <w:rFonts w:ascii="Arial" w:hAnsi="Arial" w:cs="Arial"/>
          <w:b/>
          <w:u w:val="single"/>
        </w:rPr>
      </w:pPr>
    </w:p>
    <w:p w:rsidR="00ED4B10" w:rsidRPr="00524BCB" w:rsidRDefault="00ED4B10">
      <w:pPr>
        <w:rPr>
          <w:rFonts w:ascii="Arial" w:hAnsi="Arial" w:cs="Arial"/>
          <w:b/>
          <w:u w:val="single"/>
        </w:rPr>
      </w:pPr>
      <w:r w:rsidRPr="00524BCB">
        <w:rPr>
          <w:rFonts w:ascii="Arial" w:hAnsi="Arial" w:cs="Arial"/>
          <w:b/>
          <w:u w:val="single"/>
        </w:rPr>
        <w:t>6. Předání a převzetí zboží</w:t>
      </w:r>
    </w:p>
    <w:p w:rsidR="008C6EEA" w:rsidRPr="00524BCB" w:rsidRDefault="008C6EEA" w:rsidP="008C6EEA">
      <w:pPr>
        <w:spacing w:before="120" w:line="240" w:lineRule="atLeast"/>
        <w:jc w:val="both"/>
        <w:rPr>
          <w:rFonts w:ascii="Arial" w:hAnsi="Arial" w:cs="Arial"/>
        </w:rPr>
      </w:pPr>
      <w:r w:rsidRPr="00524BCB">
        <w:rPr>
          <w:rFonts w:ascii="Arial" w:hAnsi="Arial" w:cs="Arial"/>
        </w:rPr>
        <w:t>Prodávající vyzve kupujícího písemně</w:t>
      </w:r>
      <w:r w:rsidR="00BD7977">
        <w:rPr>
          <w:rFonts w:ascii="Arial" w:hAnsi="Arial" w:cs="Arial"/>
        </w:rPr>
        <w:t>, nebo telefonicky</w:t>
      </w:r>
      <w:r w:rsidRPr="00524BCB">
        <w:rPr>
          <w:rFonts w:ascii="Arial" w:hAnsi="Arial" w:cs="Arial"/>
        </w:rPr>
        <w:t xml:space="preserve"> k převzetí zboží minimálně 1 týden před termínem předání.</w:t>
      </w:r>
    </w:p>
    <w:p w:rsidR="008C6EEA" w:rsidRPr="00524BCB" w:rsidRDefault="008C6EEA" w:rsidP="008C6EEA">
      <w:pPr>
        <w:spacing w:before="120" w:line="240" w:lineRule="atLeast"/>
        <w:jc w:val="both"/>
        <w:rPr>
          <w:rFonts w:ascii="Arial" w:hAnsi="Arial" w:cs="Arial"/>
        </w:rPr>
      </w:pPr>
      <w:r w:rsidRPr="00524BCB">
        <w:rPr>
          <w:rFonts w:ascii="Arial" w:hAnsi="Arial" w:cs="Arial"/>
        </w:rPr>
        <w:t>Zboží bude předáno na základě předávacího protokolu v místě plnění.</w:t>
      </w:r>
    </w:p>
    <w:p w:rsidR="008C6EEA" w:rsidRPr="00524BCB" w:rsidRDefault="008C6EEA" w:rsidP="008C6EEA">
      <w:pPr>
        <w:jc w:val="both"/>
        <w:rPr>
          <w:rFonts w:ascii="Arial" w:hAnsi="Arial" w:cs="Arial"/>
          <w:bCs/>
        </w:rPr>
      </w:pPr>
      <w:r w:rsidRPr="00524BCB">
        <w:rPr>
          <w:rFonts w:ascii="Arial" w:hAnsi="Arial" w:cs="Arial"/>
        </w:rPr>
        <w:t xml:space="preserve">Splněním dodávky se rozumí předání a převzetí zboží bez zjevných vad a nedodělků, uvedení předmětu dodávky do provozu, dodání všech požadovaných dokladů spojených s předmětem zakázky podle právních předpisů a technických </w:t>
      </w:r>
      <w:r>
        <w:rPr>
          <w:rFonts w:ascii="Arial" w:hAnsi="Arial" w:cs="Arial"/>
        </w:rPr>
        <w:t>norem.</w:t>
      </w:r>
    </w:p>
    <w:p w:rsidR="008C6EEA" w:rsidRPr="00524BCB" w:rsidRDefault="008C6EEA" w:rsidP="008C6EEA">
      <w:pPr>
        <w:ind w:left="720"/>
        <w:jc w:val="both"/>
        <w:rPr>
          <w:rFonts w:ascii="Arial" w:hAnsi="Arial" w:cs="Arial"/>
          <w:bCs/>
        </w:rPr>
      </w:pPr>
    </w:p>
    <w:p w:rsidR="008C6EEA" w:rsidRPr="00524BCB" w:rsidRDefault="008C6EEA" w:rsidP="008C6EEA">
      <w:pPr>
        <w:spacing w:before="120" w:line="240" w:lineRule="atLeast"/>
        <w:jc w:val="both"/>
        <w:rPr>
          <w:rFonts w:ascii="Arial" w:hAnsi="Arial" w:cs="Arial"/>
        </w:rPr>
      </w:pPr>
      <w:r w:rsidRPr="00524BCB">
        <w:rPr>
          <w:rFonts w:ascii="Arial" w:hAnsi="Arial" w:cs="Arial"/>
        </w:rPr>
        <w:t>Dodávku vykazující zjevné vady a nedodělky není povinen kupující převzít a zaplatit za ni sjednanou cenu.</w:t>
      </w:r>
    </w:p>
    <w:p w:rsidR="004C27D6" w:rsidRPr="00524BCB" w:rsidRDefault="004C27D6" w:rsidP="00F456F7">
      <w:pPr>
        <w:spacing w:before="120" w:line="240" w:lineRule="atLeast"/>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7. Odpovědnost za vady, Záruky</w:t>
      </w:r>
    </w:p>
    <w:p w:rsidR="00ED4B10" w:rsidRDefault="00ED4B10">
      <w:pPr>
        <w:spacing w:before="120" w:line="240" w:lineRule="atLeast"/>
        <w:jc w:val="both"/>
        <w:rPr>
          <w:rFonts w:ascii="Arial" w:hAnsi="Arial" w:cs="Arial"/>
        </w:rPr>
      </w:pPr>
      <w:r w:rsidRPr="00524BCB">
        <w:rPr>
          <w:rFonts w:ascii="Arial" w:hAnsi="Arial" w:cs="Arial"/>
        </w:rPr>
        <w:t>Nebezpečí škody za zboží přejde na kupujícího převzetím v místě plnění.</w:t>
      </w:r>
    </w:p>
    <w:p w:rsidR="00C34F8F" w:rsidRDefault="00C34F8F" w:rsidP="000B6A06">
      <w:pPr>
        <w:rPr>
          <w:rFonts w:ascii="Arial" w:hAnsi="Arial" w:cs="Arial"/>
          <w:b/>
          <w:u w:val="single"/>
        </w:rPr>
      </w:pPr>
    </w:p>
    <w:p w:rsidR="00F42A2F" w:rsidRDefault="00F42A2F" w:rsidP="000B6A06">
      <w:pPr>
        <w:rPr>
          <w:rFonts w:ascii="Arial" w:hAnsi="Arial" w:cs="Arial"/>
          <w:b/>
          <w:u w:val="single"/>
        </w:rPr>
      </w:pPr>
    </w:p>
    <w:p w:rsidR="000B6A06" w:rsidRDefault="004E6415" w:rsidP="000B6A06">
      <w:pPr>
        <w:rPr>
          <w:rFonts w:ascii="Arial" w:hAnsi="Arial" w:cs="Arial"/>
        </w:rPr>
      </w:pPr>
      <w:r w:rsidRPr="00524BCB">
        <w:rPr>
          <w:rFonts w:ascii="Arial" w:hAnsi="Arial" w:cs="Arial"/>
          <w:b/>
          <w:u w:val="single"/>
        </w:rPr>
        <w:t xml:space="preserve">8. </w:t>
      </w:r>
      <w:r w:rsidR="00ED4B10" w:rsidRPr="00524BCB">
        <w:rPr>
          <w:rFonts w:ascii="Arial" w:hAnsi="Arial" w:cs="Arial"/>
          <w:b/>
          <w:u w:val="single"/>
        </w:rPr>
        <w:t xml:space="preserve">Záruční </w:t>
      </w:r>
      <w:r w:rsidR="00023222" w:rsidRPr="00524BCB">
        <w:rPr>
          <w:rFonts w:ascii="Arial" w:hAnsi="Arial" w:cs="Arial"/>
          <w:b/>
          <w:u w:val="single"/>
        </w:rPr>
        <w:t xml:space="preserve">a pozáruční </w:t>
      </w:r>
      <w:r w:rsidR="00ED4B10" w:rsidRPr="00524BCB">
        <w:rPr>
          <w:rFonts w:ascii="Arial" w:hAnsi="Arial" w:cs="Arial"/>
          <w:b/>
          <w:u w:val="single"/>
        </w:rPr>
        <w:t>servis</w:t>
      </w:r>
    </w:p>
    <w:p w:rsidR="008C6EEA" w:rsidRPr="00524BCB" w:rsidRDefault="008C6EEA" w:rsidP="008C6EEA">
      <w:pPr>
        <w:spacing w:before="120" w:line="240" w:lineRule="atLeast"/>
        <w:ind w:firstLine="284"/>
        <w:jc w:val="both"/>
        <w:rPr>
          <w:rFonts w:ascii="Arial" w:hAnsi="Arial" w:cs="Arial"/>
        </w:rPr>
      </w:pPr>
      <w:r w:rsidRPr="00524BCB">
        <w:rPr>
          <w:rFonts w:ascii="Arial" w:hAnsi="Arial" w:cs="Arial"/>
        </w:rPr>
        <w:t>Prodávající ručí kupujícímu za to, že předmět plnění bude dodán vyrobený podle platných technologických podmínek a technických norem v jakosti I.</w:t>
      </w:r>
    </w:p>
    <w:p w:rsidR="008C6EEA" w:rsidRPr="00524BCB" w:rsidRDefault="008C6EEA" w:rsidP="001C49CD">
      <w:pPr>
        <w:spacing w:before="120" w:line="240" w:lineRule="atLeast"/>
        <w:ind w:firstLine="284"/>
        <w:jc w:val="both"/>
        <w:rPr>
          <w:rFonts w:ascii="Arial" w:hAnsi="Arial" w:cs="Arial"/>
        </w:rPr>
      </w:pPr>
      <w:r w:rsidRPr="00524BCB">
        <w:rPr>
          <w:rFonts w:ascii="Arial" w:hAnsi="Arial" w:cs="Arial"/>
        </w:rPr>
        <w:t xml:space="preserve">Prodávající ručí kupujícímu za bezvadnost zboží, záruku za kvalitu zboží prodávající kupujícímu poskytuje po dobu </w:t>
      </w:r>
      <w:r w:rsidR="00636E43" w:rsidRPr="00636E43">
        <w:rPr>
          <w:rFonts w:ascii="Arial" w:hAnsi="Arial" w:cs="Arial"/>
          <w:b/>
          <w:bCs/>
        </w:rPr>
        <w:t>m</w:t>
      </w:r>
      <w:r w:rsidRPr="00636E43">
        <w:rPr>
          <w:rFonts w:ascii="Arial" w:hAnsi="Arial" w:cs="Arial"/>
          <w:b/>
          <w:bCs/>
        </w:rPr>
        <w:t xml:space="preserve">inimálně </w:t>
      </w:r>
      <w:r w:rsidR="00636E43" w:rsidRPr="00636E43">
        <w:rPr>
          <w:rFonts w:ascii="Arial" w:hAnsi="Arial" w:cs="Arial"/>
          <w:b/>
          <w:bCs/>
        </w:rPr>
        <w:t>36</w:t>
      </w:r>
      <w:r w:rsidRPr="00636E43">
        <w:rPr>
          <w:rFonts w:ascii="Arial" w:hAnsi="Arial" w:cs="Arial"/>
          <w:b/>
          <w:bCs/>
        </w:rPr>
        <w:t xml:space="preserve"> měsíců</w:t>
      </w:r>
      <w:r w:rsidR="003C3934" w:rsidRPr="00636E43">
        <w:rPr>
          <w:rFonts w:ascii="Arial" w:hAnsi="Arial" w:cs="Arial"/>
        </w:rPr>
        <w:t xml:space="preserve"> </w:t>
      </w:r>
      <w:r w:rsidRPr="00636E43">
        <w:rPr>
          <w:rFonts w:ascii="Arial" w:hAnsi="Arial" w:cs="Arial"/>
        </w:rPr>
        <w:t>od</w:t>
      </w:r>
      <w:r w:rsidRPr="00524BCB">
        <w:rPr>
          <w:rFonts w:ascii="Arial" w:hAnsi="Arial" w:cs="Arial"/>
        </w:rPr>
        <w:t xml:space="preserve"> data převzetí zboží na věcné vady, nedojde-li se strany kupujícího k porušení podmínek, za které výrobce neodpovídá, a byly prokazatelně způsobené neodborným používáním. Za právní vady zboží odpovídá prodávající kupujícímu bez věcného i časového omezení. </w:t>
      </w:r>
    </w:p>
    <w:p w:rsidR="007022CA" w:rsidRPr="00524BCB" w:rsidRDefault="007022CA" w:rsidP="00024DD9">
      <w:pPr>
        <w:rPr>
          <w:rFonts w:ascii="Arial" w:hAnsi="Arial" w:cs="Arial"/>
        </w:rPr>
      </w:pPr>
    </w:p>
    <w:p w:rsidR="005E208E" w:rsidRDefault="005E208E">
      <w:pPr>
        <w:pStyle w:val="Nadpis1"/>
        <w:rPr>
          <w:rFonts w:ascii="Arial" w:hAnsi="Arial" w:cs="Arial"/>
          <w:sz w:val="20"/>
        </w:rPr>
      </w:pPr>
    </w:p>
    <w:p w:rsidR="00ED4B10" w:rsidRPr="00524BCB" w:rsidRDefault="00ED4B10">
      <w:pPr>
        <w:pStyle w:val="Nadpis1"/>
        <w:rPr>
          <w:rFonts w:ascii="Arial" w:hAnsi="Arial" w:cs="Arial"/>
          <w:sz w:val="20"/>
        </w:rPr>
      </w:pPr>
      <w:r w:rsidRPr="00524BCB">
        <w:rPr>
          <w:rFonts w:ascii="Arial" w:hAnsi="Arial" w:cs="Arial"/>
          <w:sz w:val="20"/>
        </w:rPr>
        <w:t>9. Sankce za porušení smluvních vztahů</w:t>
      </w:r>
    </w:p>
    <w:p w:rsidR="008C6EEA" w:rsidRPr="00524BCB" w:rsidRDefault="008C6EEA" w:rsidP="008C6EEA">
      <w:pPr>
        <w:spacing w:before="120"/>
        <w:ind w:firstLine="284"/>
        <w:jc w:val="both"/>
        <w:rPr>
          <w:rFonts w:ascii="Arial" w:hAnsi="Arial" w:cs="Arial"/>
        </w:rPr>
      </w:pPr>
      <w:r w:rsidRPr="00524BCB">
        <w:rPr>
          <w:rFonts w:ascii="Arial" w:hAnsi="Arial" w:cs="Arial"/>
        </w:rPr>
        <w:t>Za nesplnění doby dodání nebo vadné plnění je prodávající povinen zaplatit kupujícímu smluvní pokutu ve výši 0,</w:t>
      </w:r>
      <w:r w:rsidR="00BD7977">
        <w:rPr>
          <w:rFonts w:ascii="Arial" w:hAnsi="Arial" w:cs="Arial"/>
        </w:rPr>
        <w:t>2</w:t>
      </w:r>
      <w:r w:rsidRPr="00524BCB">
        <w:rPr>
          <w:rFonts w:ascii="Arial" w:hAnsi="Arial" w:cs="Arial"/>
        </w:rPr>
        <w:t>% z celkové ceny vč. DPH za každý i započatý kalendářní den prodlení.</w:t>
      </w:r>
    </w:p>
    <w:p w:rsidR="008C6EEA" w:rsidRPr="00524BCB" w:rsidRDefault="008C6EEA" w:rsidP="008C6EEA">
      <w:pPr>
        <w:spacing w:before="120"/>
        <w:ind w:firstLine="284"/>
        <w:jc w:val="both"/>
        <w:rPr>
          <w:rFonts w:ascii="Arial" w:hAnsi="Arial" w:cs="Arial"/>
        </w:rPr>
      </w:pPr>
      <w:r w:rsidRPr="00524BCB">
        <w:rPr>
          <w:rFonts w:ascii="Arial" w:hAnsi="Arial" w:cs="Arial"/>
        </w:rPr>
        <w:t xml:space="preserve">Nesplnění doby dodání </w:t>
      </w:r>
      <w:r w:rsidR="00151679">
        <w:rPr>
          <w:rFonts w:ascii="Arial" w:hAnsi="Arial" w:cs="Arial"/>
        </w:rPr>
        <w:t xml:space="preserve">o déle než 10 kalendářních dnů, </w:t>
      </w:r>
      <w:r w:rsidRPr="00524BCB">
        <w:rPr>
          <w:rFonts w:ascii="Arial" w:hAnsi="Arial" w:cs="Arial"/>
        </w:rPr>
        <w:t>nebo vadné plnění je považováno za podstatné porušení závazkového vztahu s možností odstoupení od smlouvy.</w:t>
      </w:r>
    </w:p>
    <w:p w:rsidR="008C6EEA" w:rsidRPr="00524BCB" w:rsidRDefault="008C6EEA" w:rsidP="008C6EEA">
      <w:pPr>
        <w:spacing w:before="120"/>
        <w:ind w:firstLine="284"/>
        <w:jc w:val="both"/>
        <w:rPr>
          <w:rFonts w:ascii="Arial" w:hAnsi="Arial" w:cs="Arial"/>
        </w:rPr>
      </w:pPr>
      <w:r w:rsidRPr="00524BCB">
        <w:rPr>
          <w:rFonts w:ascii="Arial" w:hAnsi="Arial" w:cs="Arial"/>
        </w:rPr>
        <w:t>Kupující je povinen uhradit Prodávajícímu úrok z</w:t>
      </w:r>
      <w:r w:rsidR="00EF17F7">
        <w:rPr>
          <w:rFonts w:ascii="Arial" w:hAnsi="Arial" w:cs="Arial"/>
        </w:rPr>
        <w:t> </w:t>
      </w:r>
      <w:r w:rsidRPr="00524BCB">
        <w:rPr>
          <w:rFonts w:ascii="Arial" w:hAnsi="Arial" w:cs="Arial"/>
        </w:rPr>
        <w:t>prodlení</w:t>
      </w:r>
      <w:r w:rsidR="00EF17F7">
        <w:rPr>
          <w:rFonts w:ascii="Arial" w:hAnsi="Arial" w:cs="Arial"/>
        </w:rPr>
        <w:t xml:space="preserve"> </w:t>
      </w:r>
      <w:r w:rsidRPr="00524BCB">
        <w:rPr>
          <w:rFonts w:ascii="Arial" w:hAnsi="Arial" w:cs="Arial"/>
        </w:rPr>
        <w:t>v případě nedodržení termínu splatnosti platebních dokladů ve výši 0,0</w:t>
      </w:r>
      <w:r w:rsidR="00BD7977">
        <w:rPr>
          <w:rFonts w:ascii="Arial" w:hAnsi="Arial" w:cs="Arial"/>
        </w:rPr>
        <w:t>5</w:t>
      </w:r>
      <w:r w:rsidRPr="00524BCB">
        <w:rPr>
          <w:rFonts w:ascii="Arial" w:hAnsi="Arial" w:cs="Arial"/>
        </w:rPr>
        <w:t>% z fakturované částky za každý započatý den prodlení.</w:t>
      </w:r>
    </w:p>
    <w:p w:rsidR="008C6EEA" w:rsidRPr="00524BCB" w:rsidRDefault="008C6EEA" w:rsidP="008C6EEA">
      <w:pPr>
        <w:spacing w:before="120"/>
        <w:ind w:firstLine="284"/>
        <w:jc w:val="both"/>
        <w:rPr>
          <w:rFonts w:ascii="Arial" w:hAnsi="Arial" w:cs="Arial"/>
          <w:color w:val="FF0000"/>
        </w:rPr>
      </w:pPr>
      <w:r w:rsidRPr="00524BCB">
        <w:rPr>
          <w:rFonts w:ascii="Arial" w:hAnsi="Arial" w:cs="Arial"/>
        </w:rPr>
        <w:t>Smluvní pokuty hradí povinná strana bez ohledu na to, zda a v jaké výši vznikla druhé smluvní straně v této souvislosti škoda, která je vymahatelná v plné výši samostatně vedle smluvní pokuty nebo úroku z prodlení.</w:t>
      </w:r>
    </w:p>
    <w:p w:rsidR="00DB5EF2" w:rsidRPr="00524BCB" w:rsidRDefault="00DB5EF2" w:rsidP="00F456F7">
      <w:pPr>
        <w:spacing w:before="120"/>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10. Odstoupení od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Tuto smlouvu lze změnit nebo zrušit pouze písemnou formou podepsanou oprávněnými zástupci obou smluvních stran.</w:t>
      </w:r>
    </w:p>
    <w:p w:rsidR="00E72B56" w:rsidRDefault="00E72B56" w:rsidP="008C6EEA">
      <w:pPr>
        <w:pStyle w:val="Zkladntextodsazen3"/>
        <w:spacing w:line="240" w:lineRule="auto"/>
        <w:ind w:firstLine="0"/>
        <w:jc w:val="both"/>
        <w:rPr>
          <w:rFonts w:ascii="Arial" w:hAnsi="Arial" w:cs="Arial"/>
          <w:sz w:val="20"/>
        </w:rPr>
      </w:pP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w:t>
      </w:r>
      <w:r w:rsidR="00151679">
        <w:rPr>
          <w:rFonts w:ascii="Arial" w:hAnsi="Arial" w:cs="Arial"/>
          <w:sz w:val="20"/>
        </w:rPr>
        <w:t xml:space="preserve"> (o více než 10 kalendářních dnů) může být</w:t>
      </w:r>
      <w:r w:rsidRPr="00524BCB">
        <w:rPr>
          <w:rFonts w:ascii="Arial" w:hAnsi="Arial" w:cs="Arial"/>
          <w:sz w:val="20"/>
        </w:rPr>
        <w:t xml:space="preserve"> důvodem k odstoupení kupujícího od smlouvy s tím, že prodávající nebude požadovat úhradu nákladů souvisejících s plněním předmětu smlouvy.</w:t>
      </w:r>
    </w:p>
    <w:p w:rsidR="008C6EEA" w:rsidRPr="00524BCB" w:rsidRDefault="008C6EEA" w:rsidP="008C6EEA">
      <w:pPr>
        <w:pStyle w:val="Zkladntextodsazen3"/>
        <w:spacing w:line="240" w:lineRule="auto"/>
        <w:ind w:firstLine="0"/>
        <w:jc w:val="both"/>
        <w:rPr>
          <w:rFonts w:ascii="Arial" w:hAnsi="Arial" w:cs="Arial"/>
          <w:sz w:val="20"/>
        </w:rPr>
      </w:pPr>
      <w:r w:rsidRPr="00524BCB">
        <w:rPr>
          <w:rFonts w:ascii="Arial" w:hAnsi="Arial" w:cs="Arial"/>
          <w:sz w:val="20"/>
        </w:rPr>
        <w:t>V případě odstoupení od smlouvy se práva a povinnosti smluvních stran řídí ustanoveními Občanského zákoníku.</w:t>
      </w:r>
    </w:p>
    <w:p w:rsidR="002E5DEF" w:rsidRPr="00EF17F7" w:rsidRDefault="002E5DEF" w:rsidP="00EC4C19">
      <w:pPr>
        <w:pStyle w:val="Zkladntextodsazen3"/>
        <w:spacing w:line="240" w:lineRule="auto"/>
        <w:ind w:firstLine="0"/>
        <w:jc w:val="both"/>
        <w:rPr>
          <w:rFonts w:ascii="Arial" w:hAnsi="Arial" w:cs="Arial"/>
          <w:sz w:val="16"/>
          <w:szCs w:val="16"/>
        </w:rPr>
      </w:pPr>
    </w:p>
    <w:p w:rsidR="00ED4B10" w:rsidRPr="00524BCB" w:rsidRDefault="00ED4B10">
      <w:pPr>
        <w:spacing w:before="120"/>
        <w:rPr>
          <w:rFonts w:ascii="Arial" w:hAnsi="Arial" w:cs="Arial"/>
          <w:b/>
          <w:u w:val="single"/>
        </w:rPr>
      </w:pPr>
      <w:r w:rsidRPr="00524BCB">
        <w:rPr>
          <w:rFonts w:ascii="Arial" w:hAnsi="Arial" w:cs="Arial"/>
          <w:b/>
          <w:u w:val="single"/>
        </w:rPr>
        <w:t xml:space="preserve">11. Ostatní ujednání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Příslušné doklady ověřující shodu ve smyslu zákona 22/1997 Sb. budou dodány při předání předmětu smlouvy kupujícímu.</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Závazkový vztah mezi prodávajícím a kupujícím se řídí dle Občanského zákoníku ve znění pozdějších předpisů.</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 xml:space="preserve">Ostatní vztahy vyplývající z této smlouvy se řídí příslušnými ustanoveními Občanského zákoníku, v platném znění a dalšími obecně závaznými právními předpisy České republiky. </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souhlasí s obchodními podmínkami uvedenými v zadávací dokumentaci.</w:t>
      </w:r>
    </w:p>
    <w:p w:rsidR="008C6EEA" w:rsidRPr="00524BCB" w:rsidRDefault="008C6EEA" w:rsidP="008C6EEA">
      <w:pPr>
        <w:numPr>
          <w:ilvl w:val="0"/>
          <w:numId w:val="4"/>
        </w:numPr>
        <w:spacing w:before="120" w:line="240" w:lineRule="atLeast"/>
        <w:jc w:val="both"/>
        <w:rPr>
          <w:rFonts w:ascii="Arial" w:hAnsi="Arial" w:cs="Arial"/>
        </w:rPr>
      </w:pPr>
      <w:r w:rsidRPr="00524BCB">
        <w:rPr>
          <w:rFonts w:ascii="Arial" w:hAnsi="Arial" w:cs="Arial"/>
        </w:rPr>
        <w:t>Prodávající se zavazuje dodat jako součást dodávky následující dokumentaci:</w:t>
      </w:r>
    </w:p>
    <w:p w:rsidR="008C6EEA" w:rsidRPr="00823430" w:rsidRDefault="00151679" w:rsidP="008C6EEA">
      <w:pPr>
        <w:pStyle w:val="Zkladntext2"/>
        <w:numPr>
          <w:ilvl w:val="0"/>
          <w:numId w:val="10"/>
        </w:numPr>
        <w:jc w:val="both"/>
        <w:rPr>
          <w:rFonts w:ascii="Arial" w:hAnsi="Arial" w:cs="Arial"/>
          <w:b w:val="0"/>
          <w:sz w:val="20"/>
        </w:rPr>
      </w:pPr>
      <w:r>
        <w:rPr>
          <w:rFonts w:ascii="Arial" w:hAnsi="Arial" w:cs="Arial"/>
          <w:b w:val="0"/>
          <w:sz w:val="20"/>
        </w:rPr>
        <w:t>Návod k použití</w:t>
      </w:r>
    </w:p>
    <w:p w:rsidR="008C6EEA" w:rsidRPr="00524BCB" w:rsidRDefault="008C6EEA" w:rsidP="008C6EEA">
      <w:pPr>
        <w:pStyle w:val="Zkladntext2"/>
        <w:numPr>
          <w:ilvl w:val="0"/>
          <w:numId w:val="10"/>
        </w:numPr>
        <w:jc w:val="both"/>
        <w:rPr>
          <w:rFonts w:ascii="Arial" w:hAnsi="Arial" w:cs="Arial"/>
          <w:b w:val="0"/>
          <w:sz w:val="20"/>
        </w:rPr>
      </w:pPr>
      <w:r w:rsidRPr="00524BCB">
        <w:rPr>
          <w:rFonts w:ascii="Arial" w:hAnsi="Arial" w:cs="Arial"/>
          <w:b w:val="0"/>
          <w:sz w:val="20"/>
        </w:rPr>
        <w:t>Dodací list</w:t>
      </w:r>
    </w:p>
    <w:p w:rsidR="008C6EEA" w:rsidRPr="00524BCB" w:rsidRDefault="008C6EEA" w:rsidP="008C6EEA">
      <w:pPr>
        <w:pStyle w:val="Zkladntext2"/>
        <w:ind w:left="1125"/>
        <w:jc w:val="both"/>
        <w:rPr>
          <w:rFonts w:ascii="Arial" w:hAnsi="Arial" w:cs="Arial"/>
          <w:b w:val="0"/>
          <w:sz w:val="20"/>
        </w:rPr>
      </w:pPr>
    </w:p>
    <w:p w:rsidR="00EF17F7" w:rsidRPr="00EF17F7" w:rsidRDefault="008C6EEA" w:rsidP="00EF17F7">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osobou povinnou spolupůsobit při výkonu finanční kontroly dle § 2e) zákona č. 320/2001 Sb. o finanční kontrole.</w:t>
      </w:r>
    </w:p>
    <w:p w:rsidR="008C6EEA" w:rsidRPr="00524BCB" w:rsidRDefault="008C6EEA" w:rsidP="008C6EEA">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 xml:space="preserve">Prodávající je povinen </w:t>
      </w:r>
      <w:r w:rsidRPr="00BD7977">
        <w:rPr>
          <w:rFonts w:ascii="Arial" w:hAnsi="Arial" w:cs="Arial"/>
        </w:rPr>
        <w:t xml:space="preserve">umožnit zástupcům zprostředkovatele dotace </w:t>
      </w:r>
      <w:r w:rsidR="002D2333" w:rsidRPr="00BD7977">
        <w:rPr>
          <w:rFonts w:ascii="Arial" w:hAnsi="Arial" w:cs="Arial"/>
        </w:rPr>
        <w:t>MPSV</w:t>
      </w:r>
      <w:r w:rsidRPr="00BD7977">
        <w:rPr>
          <w:rFonts w:ascii="Arial" w:hAnsi="Arial" w:cs="Arial"/>
        </w:rPr>
        <w:t xml:space="preserve"> ČR, auditních orgánů, NKÚ, F</w:t>
      </w:r>
      <w:r w:rsidRPr="00524BCB">
        <w:rPr>
          <w:rFonts w:ascii="Arial" w:hAnsi="Arial" w:cs="Arial"/>
        </w:rPr>
        <w:t>Ú a dalším oprávněným orgánům kontrolu dokladů souvisejících s projektem, a poskytnout jim součinnost při provádění kontroly projektu.</w:t>
      </w:r>
    </w:p>
    <w:p w:rsidR="00F42A2F" w:rsidRDefault="008C6EEA" w:rsidP="00EF17F7">
      <w:pPr>
        <w:pStyle w:val="Zkladntext2"/>
        <w:numPr>
          <w:ilvl w:val="0"/>
          <w:numId w:val="4"/>
        </w:numPr>
        <w:jc w:val="both"/>
        <w:rPr>
          <w:rFonts w:ascii="Arial" w:hAnsi="Arial" w:cs="Arial"/>
          <w:b w:val="0"/>
          <w:sz w:val="20"/>
        </w:rPr>
      </w:pPr>
      <w:r w:rsidRPr="00151679">
        <w:rPr>
          <w:rFonts w:ascii="Arial" w:hAnsi="Arial" w:cs="Arial"/>
          <w:b w:val="0"/>
          <w:sz w:val="20"/>
        </w:rPr>
        <w:t xml:space="preserve">Prodávající je povinen archivovat veškeré originály účetních dokladů, </w:t>
      </w:r>
      <w:r w:rsidR="003C3934">
        <w:rPr>
          <w:rFonts w:ascii="Arial" w:hAnsi="Arial" w:cs="Arial"/>
          <w:b w:val="0"/>
          <w:sz w:val="20"/>
        </w:rPr>
        <w:t xml:space="preserve">Kupní </w:t>
      </w:r>
      <w:r w:rsidRPr="00151679">
        <w:rPr>
          <w:rFonts w:ascii="Arial" w:hAnsi="Arial" w:cs="Arial"/>
          <w:b w:val="0"/>
          <w:sz w:val="20"/>
        </w:rPr>
        <w:t>smlouvu vč. dodatků a další dokumenty vztahující se k projektu po dobu nejméně 10 let od závěrečného dokončení akce</w:t>
      </w:r>
      <w:r w:rsidR="00151679" w:rsidRPr="00151679">
        <w:rPr>
          <w:rFonts w:ascii="Arial" w:hAnsi="Arial" w:cs="Arial"/>
          <w:b w:val="0"/>
          <w:sz w:val="20"/>
        </w:rPr>
        <w:t>.</w:t>
      </w:r>
    </w:p>
    <w:p w:rsidR="00636E43" w:rsidRPr="00EF17F7" w:rsidRDefault="00636E43" w:rsidP="00EF17F7">
      <w:pPr>
        <w:pStyle w:val="Zkladntext2"/>
        <w:ind w:left="765"/>
        <w:jc w:val="both"/>
        <w:rPr>
          <w:rFonts w:ascii="Arial" w:hAnsi="Arial" w:cs="Arial"/>
          <w:b w:val="0"/>
          <w:sz w:val="20"/>
        </w:rPr>
      </w:pPr>
    </w:p>
    <w:p w:rsidR="005E208E" w:rsidRDefault="005E208E">
      <w:pPr>
        <w:spacing w:before="120" w:line="240" w:lineRule="atLeast"/>
        <w:rPr>
          <w:rFonts w:ascii="Arial" w:hAnsi="Arial" w:cs="Arial"/>
          <w:b/>
          <w:u w:val="single"/>
        </w:rPr>
      </w:pPr>
    </w:p>
    <w:p w:rsidR="005E208E" w:rsidRDefault="005E208E">
      <w:pPr>
        <w:spacing w:before="120" w:line="240" w:lineRule="atLeast"/>
        <w:rPr>
          <w:rFonts w:ascii="Arial" w:hAnsi="Arial" w:cs="Arial"/>
          <w:b/>
          <w:u w:val="single"/>
        </w:rPr>
      </w:pPr>
    </w:p>
    <w:p w:rsidR="005E208E" w:rsidRDefault="005E208E">
      <w:pPr>
        <w:spacing w:before="120" w:line="240" w:lineRule="atLeast"/>
        <w:rPr>
          <w:rFonts w:ascii="Arial" w:hAnsi="Arial" w:cs="Arial"/>
          <w:b/>
          <w:u w:val="single"/>
        </w:rPr>
      </w:pPr>
    </w:p>
    <w:p w:rsidR="005E208E" w:rsidRDefault="005E208E">
      <w:pPr>
        <w:spacing w:before="120" w:line="240" w:lineRule="atLeast"/>
        <w:rPr>
          <w:rFonts w:ascii="Arial" w:hAnsi="Arial" w:cs="Arial"/>
          <w:b/>
          <w:u w:val="single"/>
        </w:rPr>
      </w:pPr>
    </w:p>
    <w:p w:rsidR="00ED4B10" w:rsidRPr="00524BCB" w:rsidRDefault="00ED4B10">
      <w:pPr>
        <w:spacing w:before="120" w:line="240" w:lineRule="atLeast"/>
        <w:rPr>
          <w:rFonts w:ascii="Arial" w:hAnsi="Arial" w:cs="Arial"/>
          <w:b/>
          <w:u w:val="single"/>
        </w:rPr>
      </w:pPr>
      <w:r w:rsidRPr="00524BCB">
        <w:rPr>
          <w:rFonts w:ascii="Arial" w:hAnsi="Arial" w:cs="Arial"/>
          <w:b/>
          <w:u w:val="single"/>
        </w:rPr>
        <w:t>12. Závěrečná ustanovení</w:t>
      </w:r>
    </w:p>
    <w:p w:rsidR="00ED4B10" w:rsidRPr="00524BCB" w:rsidRDefault="00ED4B10" w:rsidP="00AC527F">
      <w:pPr>
        <w:spacing w:before="120" w:line="240" w:lineRule="atLeast"/>
        <w:ind w:firstLine="45"/>
        <w:jc w:val="both"/>
        <w:rPr>
          <w:rFonts w:ascii="Arial" w:hAnsi="Arial" w:cs="Arial"/>
        </w:rPr>
      </w:pPr>
      <w:r w:rsidRPr="00524BCB">
        <w:rPr>
          <w:rFonts w:ascii="Arial" w:hAnsi="Arial" w:cs="Arial"/>
        </w:rPr>
        <w:t xml:space="preserve">Tato smlouva je vyhotovena ve </w:t>
      </w:r>
      <w:r w:rsidR="00DB5EF2" w:rsidRPr="00524BCB">
        <w:rPr>
          <w:rFonts w:ascii="Arial" w:hAnsi="Arial" w:cs="Arial"/>
        </w:rPr>
        <w:t>třech</w:t>
      </w:r>
      <w:r w:rsidRPr="00524BCB">
        <w:rPr>
          <w:rFonts w:ascii="Arial" w:hAnsi="Arial" w:cs="Arial"/>
        </w:rPr>
        <w:t xml:space="preserve"> vyhotoveních, z nichž jedno obdrží prodávající a </w:t>
      </w:r>
      <w:r w:rsidR="00DB5EF2" w:rsidRPr="00524BCB">
        <w:rPr>
          <w:rFonts w:ascii="Arial" w:hAnsi="Arial" w:cs="Arial"/>
        </w:rPr>
        <w:t>dvě</w:t>
      </w:r>
      <w:r w:rsidRPr="00524BCB">
        <w:rPr>
          <w:rFonts w:ascii="Arial" w:hAnsi="Arial" w:cs="Arial"/>
        </w:rPr>
        <w:t xml:space="preserve"> kupující.</w:t>
      </w:r>
    </w:p>
    <w:p w:rsidR="00772532" w:rsidRDefault="00772532" w:rsidP="00F456F7">
      <w:pPr>
        <w:spacing w:before="120" w:line="240" w:lineRule="atLeast"/>
        <w:ind w:left="45"/>
        <w:jc w:val="both"/>
        <w:rPr>
          <w:rFonts w:ascii="Arial" w:hAnsi="Arial" w:cs="Arial"/>
        </w:rPr>
      </w:pPr>
    </w:p>
    <w:p w:rsidR="005E208E" w:rsidRDefault="005E208E" w:rsidP="00F456F7">
      <w:pPr>
        <w:spacing w:before="120" w:line="240" w:lineRule="atLeast"/>
        <w:ind w:left="45"/>
        <w:jc w:val="both"/>
        <w:rPr>
          <w:rFonts w:ascii="Arial" w:hAnsi="Arial" w:cs="Arial"/>
        </w:rPr>
      </w:pPr>
    </w:p>
    <w:p w:rsidR="005E208E" w:rsidRDefault="005E208E" w:rsidP="00F456F7">
      <w:pPr>
        <w:spacing w:before="120" w:line="240" w:lineRule="atLeast"/>
        <w:ind w:left="45"/>
        <w:jc w:val="both"/>
        <w:rPr>
          <w:rFonts w:ascii="Arial" w:hAnsi="Arial" w:cs="Arial"/>
        </w:rPr>
      </w:pPr>
    </w:p>
    <w:p w:rsidR="00ED4B10" w:rsidRPr="00524BCB" w:rsidRDefault="00ED4B10" w:rsidP="00F456F7">
      <w:pPr>
        <w:spacing w:before="120" w:line="240" w:lineRule="atLeast"/>
        <w:ind w:left="45"/>
        <w:jc w:val="both"/>
        <w:rPr>
          <w:rFonts w:ascii="Arial" w:hAnsi="Arial" w:cs="Arial"/>
        </w:rPr>
      </w:pPr>
      <w:r w:rsidRPr="00524BCB">
        <w:rPr>
          <w:rFonts w:ascii="Arial" w:hAnsi="Arial" w:cs="Arial"/>
        </w:rPr>
        <w:t>Platnosti a účinnosti nabývá</w:t>
      </w:r>
      <w:r w:rsidR="00772532">
        <w:rPr>
          <w:rFonts w:ascii="Arial" w:hAnsi="Arial" w:cs="Arial"/>
        </w:rPr>
        <w:t xml:space="preserve"> Kupní</w:t>
      </w:r>
      <w:r w:rsidRPr="00524BCB">
        <w:rPr>
          <w:rFonts w:ascii="Arial" w:hAnsi="Arial" w:cs="Arial"/>
        </w:rPr>
        <w:t xml:space="preserve"> smlouva dnem podpisu obou stran.</w:t>
      </w:r>
    </w:p>
    <w:p w:rsidR="004A489D" w:rsidRPr="00524BCB" w:rsidRDefault="004A489D">
      <w:pPr>
        <w:pStyle w:val="Zhlav"/>
        <w:rPr>
          <w:rFonts w:ascii="Arial" w:hAnsi="Arial" w:cs="Arial"/>
          <w:b/>
        </w:rPr>
      </w:pPr>
    </w:p>
    <w:p w:rsidR="00ED4B10" w:rsidRPr="00F236E0" w:rsidRDefault="00ED4B10">
      <w:pPr>
        <w:spacing w:before="120" w:line="240" w:lineRule="atLeast"/>
        <w:rPr>
          <w:rFonts w:ascii="Arial" w:hAnsi="Arial" w:cs="Arial"/>
          <w:b/>
        </w:rPr>
      </w:pPr>
      <w:r w:rsidRPr="00F236E0">
        <w:rPr>
          <w:rFonts w:ascii="Arial" w:hAnsi="Arial" w:cs="Arial"/>
          <w:b/>
        </w:rPr>
        <w:t>Za prodávajícího:</w:t>
      </w:r>
      <w:r w:rsidRPr="00F236E0">
        <w:rPr>
          <w:rFonts w:ascii="Arial" w:hAnsi="Arial" w:cs="Arial"/>
          <w:b/>
        </w:rPr>
        <w:tab/>
      </w:r>
      <w:r w:rsidRPr="00F236E0">
        <w:rPr>
          <w:rFonts w:ascii="Arial" w:hAnsi="Arial" w:cs="Arial"/>
          <w:b/>
        </w:rPr>
        <w:tab/>
      </w:r>
      <w:r w:rsidRPr="00F236E0">
        <w:rPr>
          <w:rFonts w:ascii="Arial" w:hAnsi="Arial" w:cs="Arial"/>
          <w:b/>
        </w:rPr>
        <w:tab/>
      </w:r>
      <w:r w:rsidRPr="00F236E0">
        <w:rPr>
          <w:rFonts w:ascii="Arial" w:hAnsi="Arial" w:cs="Arial"/>
          <w:b/>
        </w:rPr>
        <w:tab/>
      </w:r>
      <w:r w:rsidRPr="00F236E0">
        <w:rPr>
          <w:rFonts w:ascii="Arial" w:hAnsi="Arial" w:cs="Arial"/>
          <w:b/>
        </w:rPr>
        <w:tab/>
      </w:r>
      <w:r w:rsidRPr="00F236E0">
        <w:rPr>
          <w:rFonts w:ascii="Arial" w:hAnsi="Arial" w:cs="Arial"/>
          <w:b/>
        </w:rPr>
        <w:tab/>
        <w:t>Za kupujícího:</w:t>
      </w:r>
    </w:p>
    <w:p w:rsidR="00ED4B10" w:rsidRPr="00F236E0" w:rsidRDefault="00262451">
      <w:pPr>
        <w:spacing w:before="120" w:line="240" w:lineRule="atLeast"/>
        <w:rPr>
          <w:rFonts w:ascii="Arial" w:hAnsi="Arial" w:cs="Arial"/>
        </w:rPr>
      </w:pPr>
      <w:r w:rsidRPr="00F236E0">
        <w:rPr>
          <w:rFonts w:ascii="Arial" w:hAnsi="Arial" w:cs="Arial"/>
        </w:rPr>
        <w:t>V</w:t>
      </w:r>
      <w:r w:rsidR="00ED4B10" w:rsidRPr="00F236E0">
        <w:rPr>
          <w:rFonts w:ascii="Arial" w:hAnsi="Arial" w:cs="Arial"/>
        </w:rPr>
        <w:tab/>
      </w:r>
      <w:r w:rsidR="00ED4B10" w:rsidRPr="00F236E0">
        <w:rPr>
          <w:rFonts w:ascii="Arial" w:hAnsi="Arial" w:cs="Arial"/>
        </w:rPr>
        <w:tab/>
      </w:r>
      <w:r w:rsidR="00ED4B10" w:rsidRPr="00F236E0">
        <w:rPr>
          <w:rFonts w:ascii="Arial" w:hAnsi="Arial" w:cs="Arial"/>
        </w:rPr>
        <w:tab/>
      </w:r>
      <w:r w:rsidR="00ED4B10" w:rsidRPr="00F236E0">
        <w:rPr>
          <w:rFonts w:ascii="Arial" w:hAnsi="Arial" w:cs="Arial"/>
        </w:rPr>
        <w:tab/>
      </w:r>
      <w:r w:rsidR="00105741" w:rsidRPr="00F236E0">
        <w:rPr>
          <w:rFonts w:ascii="Arial" w:hAnsi="Arial" w:cs="Arial"/>
        </w:rPr>
        <w:tab/>
      </w:r>
      <w:r w:rsidR="000222D2" w:rsidRPr="00F236E0">
        <w:rPr>
          <w:rFonts w:ascii="Arial" w:hAnsi="Arial" w:cs="Arial"/>
        </w:rPr>
        <w:tab/>
      </w:r>
      <w:r w:rsidR="000222D2" w:rsidRPr="00F236E0">
        <w:rPr>
          <w:rFonts w:ascii="Arial" w:hAnsi="Arial" w:cs="Arial"/>
        </w:rPr>
        <w:tab/>
      </w:r>
      <w:r w:rsidR="000222D2" w:rsidRPr="00F236E0">
        <w:rPr>
          <w:rFonts w:ascii="Arial" w:hAnsi="Arial" w:cs="Arial"/>
        </w:rPr>
        <w:tab/>
      </w:r>
      <w:r w:rsidR="00EF17F7" w:rsidRPr="00F236E0">
        <w:rPr>
          <w:rFonts w:ascii="Arial" w:hAnsi="Arial" w:cs="Arial"/>
        </w:rPr>
        <w:t xml:space="preserve">V </w:t>
      </w:r>
      <w:r w:rsidR="002D2333" w:rsidRPr="00F236E0">
        <w:rPr>
          <w:rFonts w:ascii="Arial" w:hAnsi="Arial" w:cs="Arial"/>
        </w:rPr>
        <w:t>Kouřimi</w:t>
      </w:r>
    </w:p>
    <w:p w:rsidR="00151679" w:rsidRPr="00BD7977" w:rsidRDefault="00ED4B10" w:rsidP="00DB5EF2">
      <w:pPr>
        <w:spacing w:before="120" w:line="240" w:lineRule="atLeast"/>
        <w:rPr>
          <w:rFonts w:ascii="Arial" w:hAnsi="Arial" w:cs="Arial"/>
        </w:rPr>
      </w:pPr>
      <w:r w:rsidRPr="00F236E0">
        <w:rPr>
          <w:rFonts w:ascii="Arial" w:hAnsi="Arial" w:cs="Arial"/>
        </w:rPr>
        <w:t>dne</w:t>
      </w:r>
      <w:r w:rsidR="00DB5EF2" w:rsidRPr="00F236E0">
        <w:rPr>
          <w:rFonts w:ascii="Arial" w:hAnsi="Arial" w:cs="Arial"/>
        </w:rPr>
        <w:t>:</w:t>
      </w:r>
      <w:r w:rsidR="00985E66" w:rsidRPr="00BD7977">
        <w:rPr>
          <w:rFonts w:ascii="Arial" w:hAnsi="Arial" w:cs="Arial"/>
        </w:rPr>
        <w:tab/>
      </w:r>
      <w:r w:rsidR="00985E66"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t>dne</w:t>
      </w:r>
      <w:r w:rsidR="00985E66" w:rsidRPr="00BD7977">
        <w:rPr>
          <w:rFonts w:ascii="Arial" w:hAnsi="Arial" w:cs="Arial"/>
        </w:rPr>
        <w:t>:</w:t>
      </w:r>
    </w:p>
    <w:p w:rsidR="001F130C" w:rsidRDefault="001F130C" w:rsidP="00DB5EF2">
      <w:pPr>
        <w:spacing w:before="120" w:line="240" w:lineRule="atLeast"/>
        <w:rPr>
          <w:rFonts w:ascii="Arial" w:hAnsi="Arial" w:cs="Arial"/>
        </w:rPr>
      </w:pPr>
    </w:p>
    <w:p w:rsidR="00DB5EF2" w:rsidRPr="00BD7977" w:rsidRDefault="00005352" w:rsidP="00DB5EF2">
      <w:pPr>
        <w:spacing w:before="120" w:line="240" w:lineRule="atLeast"/>
        <w:rPr>
          <w:rFonts w:ascii="Arial" w:hAnsi="Arial" w:cs="Arial"/>
        </w:rPr>
      </w:pPr>
      <w:r>
        <w:rPr>
          <w:rFonts w:ascii="Arial" w:hAnsi="Arial" w:cs="Arial"/>
          <w:noProof/>
        </w:rPr>
        <w:pict>
          <v:line id="Line 6" o:spid="_x0000_s205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20.6pt" to="419.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"/>
        </w:pict>
      </w:r>
      <w:r>
        <w:rPr>
          <w:rFonts w:ascii="Arial" w:hAnsi="Arial" w:cs="Arial"/>
          <w:noProof/>
        </w:rPr>
        <w:pict>
          <v:line id="Line 7" o:spid="_x0000_s205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6pt" to="10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"/>
        </w:pict>
      </w:r>
    </w:p>
    <w:p w:rsidR="001A7545" w:rsidRPr="00BD7977" w:rsidRDefault="00DB5EF2" w:rsidP="00EF17F7">
      <w:pPr>
        <w:spacing w:before="120" w:line="240" w:lineRule="atLeast"/>
        <w:rPr>
          <w:rFonts w:ascii="Arial" w:hAnsi="Arial" w:cs="Arial"/>
        </w:rPr>
      </w:pP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Pr="00BD7977">
        <w:rPr>
          <w:rFonts w:ascii="Arial" w:hAnsi="Arial" w:cs="Arial"/>
        </w:rPr>
        <w:tab/>
      </w:r>
      <w:r w:rsidR="00EF17F7" w:rsidRPr="00BD7977">
        <w:rPr>
          <w:rFonts w:ascii="Arial" w:hAnsi="Arial" w:cs="Arial"/>
        </w:rPr>
        <w:tab/>
      </w:r>
      <w:r w:rsidR="002D2333" w:rsidRPr="00BD7977">
        <w:rPr>
          <w:rFonts w:ascii="Arial" w:hAnsi="Arial" w:cs="Arial"/>
        </w:rPr>
        <w:t>Ing. Radek Linhart, ředitel</w:t>
      </w:r>
    </w:p>
    <w:sectPr w:rsidR="001A7545" w:rsidRPr="00BD7977" w:rsidSect="006C200F">
      <w:headerReference w:type="even" r:id="rId8"/>
      <w:headerReference w:type="default" r:id="rId9"/>
      <w:footerReference w:type="even" r:id="rId10"/>
      <w:footerReference w:type="default" r:id="rId11"/>
      <w:pgSz w:w="11906" w:h="16838" w:code="9"/>
      <w:pgMar w:top="963" w:right="1134" w:bottom="851" w:left="1418" w:header="284"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10" w:rsidRDefault="00CC7C10">
      <w:r>
        <w:separator/>
      </w:r>
    </w:p>
  </w:endnote>
  <w:endnote w:type="continuationSeparator" w:id="0">
    <w:p w:rsidR="00CC7C10" w:rsidRDefault="00CC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10" w:rsidRDefault="00005352">
    <w:pPr>
      <w:pStyle w:val="Zpat"/>
      <w:framePr w:wrap="around" w:vAnchor="text" w:hAnchor="margin" w:xAlign="center" w:y="1"/>
      <w:rPr>
        <w:rStyle w:val="slostrnky"/>
      </w:rPr>
    </w:pPr>
    <w:r>
      <w:rPr>
        <w:rStyle w:val="slostrnky"/>
      </w:rPr>
      <w:fldChar w:fldCharType="begin"/>
    </w:r>
    <w:r w:rsidR="00CC7C10">
      <w:rPr>
        <w:rStyle w:val="slostrnky"/>
      </w:rPr>
      <w:instrText xml:space="preserve">PAGE  </w:instrText>
    </w:r>
    <w:r>
      <w:rPr>
        <w:rStyle w:val="slostrnky"/>
      </w:rPr>
      <w:fldChar w:fldCharType="end"/>
    </w:r>
  </w:p>
  <w:p w:rsidR="00CC7C10" w:rsidRDefault="00CC7C1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06981"/>
      <w:docPartObj>
        <w:docPartGallery w:val="Page Numbers (Bottom of Page)"/>
        <w:docPartUnique/>
      </w:docPartObj>
    </w:sdtPr>
    <w:sdtContent>
      <w:p w:rsidR="00CC7C10" w:rsidRDefault="00005352">
        <w:pPr>
          <w:pStyle w:val="Zpat"/>
          <w:jc w:val="right"/>
        </w:pPr>
        <w:fldSimple w:instr="PAGE   \* MERGEFORMAT">
          <w:r w:rsidR="00837C75">
            <w:rPr>
              <w:noProof/>
            </w:rPr>
            <w:t>2</w:t>
          </w:r>
        </w:fldSimple>
      </w:p>
    </w:sdtContent>
  </w:sdt>
  <w:p w:rsidR="00CC7C10" w:rsidRDefault="00CC7C1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10" w:rsidRDefault="00CC7C10">
      <w:r>
        <w:separator/>
      </w:r>
    </w:p>
  </w:footnote>
  <w:footnote w:type="continuationSeparator" w:id="0">
    <w:p w:rsidR="00CC7C10" w:rsidRDefault="00CC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10" w:rsidRDefault="00005352">
    <w:pPr>
      <w:pStyle w:val="Zhlav"/>
      <w:framePr w:wrap="around" w:vAnchor="text" w:hAnchor="margin" w:xAlign="center" w:y="1"/>
      <w:rPr>
        <w:rStyle w:val="slostrnky"/>
      </w:rPr>
    </w:pPr>
    <w:r>
      <w:rPr>
        <w:rStyle w:val="slostrnky"/>
      </w:rPr>
      <w:fldChar w:fldCharType="begin"/>
    </w:r>
    <w:r w:rsidR="00CC7C10">
      <w:rPr>
        <w:rStyle w:val="slostrnky"/>
      </w:rPr>
      <w:instrText xml:space="preserve">PAGE  </w:instrText>
    </w:r>
    <w:r>
      <w:rPr>
        <w:rStyle w:val="slostrnky"/>
      </w:rPr>
      <w:fldChar w:fldCharType="end"/>
    </w:r>
  </w:p>
  <w:p w:rsidR="00CC7C10" w:rsidRDefault="00CC7C1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10" w:rsidRPr="008F726E" w:rsidRDefault="00CC7C10" w:rsidP="008F726E">
    <w:pPr>
      <w:pStyle w:val="Zhlav"/>
    </w:pPr>
    <w:r>
      <w:rPr>
        <w:noProof/>
      </w:rPr>
      <w:drawing>
        <wp:inline distT="0" distB="0" distL="0" distR="0">
          <wp:extent cx="2042160" cy="510540"/>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2160" cy="5105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3">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1"/>
  </w:num>
  <w:num w:numId="8">
    <w:abstractNumId w:val="0"/>
  </w:num>
  <w:num w:numId="9">
    <w:abstractNumId w:val="4"/>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rsids>
    <w:rsidRoot w:val="00AA180E"/>
    <w:rsid w:val="00000499"/>
    <w:rsid w:val="00005352"/>
    <w:rsid w:val="000222D2"/>
    <w:rsid w:val="00023222"/>
    <w:rsid w:val="00024DD9"/>
    <w:rsid w:val="0004343A"/>
    <w:rsid w:val="000438E6"/>
    <w:rsid w:val="00060063"/>
    <w:rsid w:val="00077856"/>
    <w:rsid w:val="00077A47"/>
    <w:rsid w:val="00083464"/>
    <w:rsid w:val="00085CE4"/>
    <w:rsid w:val="00087D3B"/>
    <w:rsid w:val="00092FAF"/>
    <w:rsid w:val="00095680"/>
    <w:rsid w:val="000A0995"/>
    <w:rsid w:val="000A0BB6"/>
    <w:rsid w:val="000A22FF"/>
    <w:rsid w:val="000B6A06"/>
    <w:rsid w:val="000C135D"/>
    <w:rsid w:val="000E1032"/>
    <w:rsid w:val="000E178A"/>
    <w:rsid w:val="000F1717"/>
    <w:rsid w:val="000F7C50"/>
    <w:rsid w:val="00105741"/>
    <w:rsid w:val="001079F0"/>
    <w:rsid w:val="00113D26"/>
    <w:rsid w:val="0012005A"/>
    <w:rsid w:val="00125EF9"/>
    <w:rsid w:val="001414F1"/>
    <w:rsid w:val="00143689"/>
    <w:rsid w:val="00143725"/>
    <w:rsid w:val="001448D0"/>
    <w:rsid w:val="00151679"/>
    <w:rsid w:val="00165466"/>
    <w:rsid w:val="001A7545"/>
    <w:rsid w:val="001A7571"/>
    <w:rsid w:val="001C49CD"/>
    <w:rsid w:val="001C4F12"/>
    <w:rsid w:val="001C7735"/>
    <w:rsid w:val="001D0547"/>
    <w:rsid w:val="001D2395"/>
    <w:rsid w:val="001E4AC0"/>
    <w:rsid w:val="001F130C"/>
    <w:rsid w:val="001F1F01"/>
    <w:rsid w:val="001F201E"/>
    <w:rsid w:val="001F5321"/>
    <w:rsid w:val="002100BB"/>
    <w:rsid w:val="002127B4"/>
    <w:rsid w:val="00257ECC"/>
    <w:rsid w:val="00262451"/>
    <w:rsid w:val="00282CAF"/>
    <w:rsid w:val="00284D9F"/>
    <w:rsid w:val="0028638A"/>
    <w:rsid w:val="002878DF"/>
    <w:rsid w:val="002977A8"/>
    <w:rsid w:val="002A013A"/>
    <w:rsid w:val="002A0BA8"/>
    <w:rsid w:val="002B07F4"/>
    <w:rsid w:val="002B2654"/>
    <w:rsid w:val="002B5072"/>
    <w:rsid w:val="002B6E09"/>
    <w:rsid w:val="002C00A9"/>
    <w:rsid w:val="002C32D5"/>
    <w:rsid w:val="002D2333"/>
    <w:rsid w:val="002D6176"/>
    <w:rsid w:val="002D6BF3"/>
    <w:rsid w:val="002E5DEF"/>
    <w:rsid w:val="002F7EDA"/>
    <w:rsid w:val="00310865"/>
    <w:rsid w:val="003127AD"/>
    <w:rsid w:val="00313D39"/>
    <w:rsid w:val="00313EAC"/>
    <w:rsid w:val="00314583"/>
    <w:rsid w:val="003221BE"/>
    <w:rsid w:val="003231C1"/>
    <w:rsid w:val="003328E0"/>
    <w:rsid w:val="0034147C"/>
    <w:rsid w:val="00341C74"/>
    <w:rsid w:val="00362281"/>
    <w:rsid w:val="003819A5"/>
    <w:rsid w:val="00386F3A"/>
    <w:rsid w:val="003903AD"/>
    <w:rsid w:val="0039219A"/>
    <w:rsid w:val="003A2D04"/>
    <w:rsid w:val="003C3934"/>
    <w:rsid w:val="003D4828"/>
    <w:rsid w:val="003F2236"/>
    <w:rsid w:val="00411068"/>
    <w:rsid w:val="004215EC"/>
    <w:rsid w:val="0045283B"/>
    <w:rsid w:val="00463FA7"/>
    <w:rsid w:val="0047181C"/>
    <w:rsid w:val="0047448F"/>
    <w:rsid w:val="00485FBC"/>
    <w:rsid w:val="0048694E"/>
    <w:rsid w:val="004971B5"/>
    <w:rsid w:val="004A114C"/>
    <w:rsid w:val="004A3350"/>
    <w:rsid w:val="004A489D"/>
    <w:rsid w:val="004A64E7"/>
    <w:rsid w:val="004C054A"/>
    <w:rsid w:val="004C27D6"/>
    <w:rsid w:val="004E6415"/>
    <w:rsid w:val="004E7353"/>
    <w:rsid w:val="004F5C55"/>
    <w:rsid w:val="004F768B"/>
    <w:rsid w:val="00504A97"/>
    <w:rsid w:val="0052322B"/>
    <w:rsid w:val="00524BCB"/>
    <w:rsid w:val="0054124C"/>
    <w:rsid w:val="00547D82"/>
    <w:rsid w:val="005505F8"/>
    <w:rsid w:val="005525A1"/>
    <w:rsid w:val="00553F5C"/>
    <w:rsid w:val="00567157"/>
    <w:rsid w:val="005B27AC"/>
    <w:rsid w:val="005D3037"/>
    <w:rsid w:val="005E208E"/>
    <w:rsid w:val="00600BA4"/>
    <w:rsid w:val="00612329"/>
    <w:rsid w:val="00613AC1"/>
    <w:rsid w:val="00632D08"/>
    <w:rsid w:val="00636E43"/>
    <w:rsid w:val="00637F09"/>
    <w:rsid w:val="0064588F"/>
    <w:rsid w:val="006722EA"/>
    <w:rsid w:val="00686263"/>
    <w:rsid w:val="00696870"/>
    <w:rsid w:val="006A21D1"/>
    <w:rsid w:val="006B54B7"/>
    <w:rsid w:val="006B56F0"/>
    <w:rsid w:val="006C200F"/>
    <w:rsid w:val="007022CA"/>
    <w:rsid w:val="00733D5C"/>
    <w:rsid w:val="00746698"/>
    <w:rsid w:val="00747D60"/>
    <w:rsid w:val="00753B45"/>
    <w:rsid w:val="007670A1"/>
    <w:rsid w:val="00772532"/>
    <w:rsid w:val="00775F94"/>
    <w:rsid w:val="007819FB"/>
    <w:rsid w:val="0078798A"/>
    <w:rsid w:val="00793D9E"/>
    <w:rsid w:val="007A0C3A"/>
    <w:rsid w:val="007A17E9"/>
    <w:rsid w:val="007A69A6"/>
    <w:rsid w:val="007C799A"/>
    <w:rsid w:val="007D5212"/>
    <w:rsid w:val="007E2AF8"/>
    <w:rsid w:val="007F0B52"/>
    <w:rsid w:val="007F43EC"/>
    <w:rsid w:val="00802EB0"/>
    <w:rsid w:val="00821307"/>
    <w:rsid w:val="00823263"/>
    <w:rsid w:val="008311E7"/>
    <w:rsid w:val="00831C7C"/>
    <w:rsid w:val="00837C75"/>
    <w:rsid w:val="00876919"/>
    <w:rsid w:val="00882F65"/>
    <w:rsid w:val="00896662"/>
    <w:rsid w:val="008A133A"/>
    <w:rsid w:val="008A3862"/>
    <w:rsid w:val="008A41F8"/>
    <w:rsid w:val="008C2828"/>
    <w:rsid w:val="008C6EEA"/>
    <w:rsid w:val="008D713C"/>
    <w:rsid w:val="008E60DE"/>
    <w:rsid w:val="008F52FC"/>
    <w:rsid w:val="008F726E"/>
    <w:rsid w:val="0095004F"/>
    <w:rsid w:val="00951DA1"/>
    <w:rsid w:val="00965022"/>
    <w:rsid w:val="00966223"/>
    <w:rsid w:val="00982058"/>
    <w:rsid w:val="00982D06"/>
    <w:rsid w:val="009855EA"/>
    <w:rsid w:val="00985E66"/>
    <w:rsid w:val="00986E41"/>
    <w:rsid w:val="009A4848"/>
    <w:rsid w:val="009A721E"/>
    <w:rsid w:val="009C06B5"/>
    <w:rsid w:val="009E7F7A"/>
    <w:rsid w:val="009F40EE"/>
    <w:rsid w:val="00A277B9"/>
    <w:rsid w:val="00A44BA5"/>
    <w:rsid w:val="00A52410"/>
    <w:rsid w:val="00A72620"/>
    <w:rsid w:val="00A755FA"/>
    <w:rsid w:val="00A81475"/>
    <w:rsid w:val="00A815E1"/>
    <w:rsid w:val="00A87A8A"/>
    <w:rsid w:val="00AA0E78"/>
    <w:rsid w:val="00AA180E"/>
    <w:rsid w:val="00AA259E"/>
    <w:rsid w:val="00AA680A"/>
    <w:rsid w:val="00AA7DA2"/>
    <w:rsid w:val="00AB1940"/>
    <w:rsid w:val="00AB1D8C"/>
    <w:rsid w:val="00AB3E90"/>
    <w:rsid w:val="00AC527F"/>
    <w:rsid w:val="00AD109A"/>
    <w:rsid w:val="00AE4024"/>
    <w:rsid w:val="00AE59D7"/>
    <w:rsid w:val="00B15868"/>
    <w:rsid w:val="00B1754C"/>
    <w:rsid w:val="00B21554"/>
    <w:rsid w:val="00B407BF"/>
    <w:rsid w:val="00B45369"/>
    <w:rsid w:val="00B46B5F"/>
    <w:rsid w:val="00B525E8"/>
    <w:rsid w:val="00B56736"/>
    <w:rsid w:val="00B73893"/>
    <w:rsid w:val="00B751C5"/>
    <w:rsid w:val="00B77C99"/>
    <w:rsid w:val="00BA2CA6"/>
    <w:rsid w:val="00BB162B"/>
    <w:rsid w:val="00BC2208"/>
    <w:rsid w:val="00BC68FC"/>
    <w:rsid w:val="00BC7C58"/>
    <w:rsid w:val="00BD09B0"/>
    <w:rsid w:val="00BD0E1F"/>
    <w:rsid w:val="00BD0E7F"/>
    <w:rsid w:val="00BD260E"/>
    <w:rsid w:val="00BD7977"/>
    <w:rsid w:val="00BF3F1A"/>
    <w:rsid w:val="00C107C4"/>
    <w:rsid w:val="00C17D75"/>
    <w:rsid w:val="00C21D5F"/>
    <w:rsid w:val="00C33AB8"/>
    <w:rsid w:val="00C34F8F"/>
    <w:rsid w:val="00C377E6"/>
    <w:rsid w:val="00C4423C"/>
    <w:rsid w:val="00C57E5D"/>
    <w:rsid w:val="00C613DB"/>
    <w:rsid w:val="00C74CF0"/>
    <w:rsid w:val="00C768A0"/>
    <w:rsid w:val="00C936B8"/>
    <w:rsid w:val="00C94CE2"/>
    <w:rsid w:val="00C954A0"/>
    <w:rsid w:val="00C95781"/>
    <w:rsid w:val="00C96677"/>
    <w:rsid w:val="00CB45C4"/>
    <w:rsid w:val="00CC09C1"/>
    <w:rsid w:val="00CC321F"/>
    <w:rsid w:val="00CC4AF9"/>
    <w:rsid w:val="00CC7C10"/>
    <w:rsid w:val="00CE5239"/>
    <w:rsid w:val="00CF00F9"/>
    <w:rsid w:val="00CF0AA5"/>
    <w:rsid w:val="00CF234B"/>
    <w:rsid w:val="00CF583B"/>
    <w:rsid w:val="00D12DE0"/>
    <w:rsid w:val="00D14377"/>
    <w:rsid w:val="00D525E8"/>
    <w:rsid w:val="00D5777F"/>
    <w:rsid w:val="00D60F74"/>
    <w:rsid w:val="00D6285E"/>
    <w:rsid w:val="00D66A88"/>
    <w:rsid w:val="00D7101D"/>
    <w:rsid w:val="00D8406B"/>
    <w:rsid w:val="00D93004"/>
    <w:rsid w:val="00D967D1"/>
    <w:rsid w:val="00DB391D"/>
    <w:rsid w:val="00DB580E"/>
    <w:rsid w:val="00DB5EF2"/>
    <w:rsid w:val="00DC20CB"/>
    <w:rsid w:val="00DC6616"/>
    <w:rsid w:val="00DD5BBC"/>
    <w:rsid w:val="00DE39A9"/>
    <w:rsid w:val="00DE5442"/>
    <w:rsid w:val="00E02842"/>
    <w:rsid w:val="00E165F1"/>
    <w:rsid w:val="00E16602"/>
    <w:rsid w:val="00E25131"/>
    <w:rsid w:val="00E309FC"/>
    <w:rsid w:val="00E4783E"/>
    <w:rsid w:val="00E52373"/>
    <w:rsid w:val="00E52C0F"/>
    <w:rsid w:val="00E60456"/>
    <w:rsid w:val="00E71820"/>
    <w:rsid w:val="00E72B56"/>
    <w:rsid w:val="00EA22E0"/>
    <w:rsid w:val="00EA65A9"/>
    <w:rsid w:val="00EB1B3F"/>
    <w:rsid w:val="00EC4C19"/>
    <w:rsid w:val="00ED18A3"/>
    <w:rsid w:val="00ED4B10"/>
    <w:rsid w:val="00ED7B05"/>
    <w:rsid w:val="00EF17F7"/>
    <w:rsid w:val="00EF4C6D"/>
    <w:rsid w:val="00EF57D0"/>
    <w:rsid w:val="00F015F6"/>
    <w:rsid w:val="00F023D1"/>
    <w:rsid w:val="00F12F7E"/>
    <w:rsid w:val="00F132DD"/>
    <w:rsid w:val="00F14B8C"/>
    <w:rsid w:val="00F20C0B"/>
    <w:rsid w:val="00F232A7"/>
    <w:rsid w:val="00F236E0"/>
    <w:rsid w:val="00F25294"/>
    <w:rsid w:val="00F42A2F"/>
    <w:rsid w:val="00F4565C"/>
    <w:rsid w:val="00F456F7"/>
    <w:rsid w:val="00F51ACE"/>
    <w:rsid w:val="00F61FD0"/>
    <w:rsid w:val="00F831B0"/>
    <w:rsid w:val="00F83ECF"/>
    <w:rsid w:val="00FA28C0"/>
    <w:rsid w:val="00FB115A"/>
    <w:rsid w:val="00FB3E1D"/>
    <w:rsid w:val="00FB47CD"/>
    <w:rsid w:val="00FB5D28"/>
    <w:rsid w:val="00FB7F4A"/>
    <w:rsid w:val="00FC358F"/>
    <w:rsid w:val="00FC505E"/>
    <w:rsid w:val="00FE3AFC"/>
    <w:rsid w:val="00FF2C4A"/>
    <w:rsid w:val="00FF5C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uiPriority w:val="99"/>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hlavChar">
    <w:name w:val="Záhlaví Char"/>
    <w:basedOn w:val="Standardnpsmoodstavce"/>
    <w:link w:val="Zhlav"/>
    <w:rsid w:val="00AC527F"/>
  </w:style>
  <w:style w:type="character" w:customStyle="1" w:styleId="ZpatChar">
    <w:name w:val="Zápatí Char"/>
    <w:link w:val="Zpat"/>
    <w:uiPriority w:val="99"/>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r="http://schemas.openxmlformats.org/officeDocument/2006/relationships" xmlns:w="http://schemas.openxmlformats.org/wordprocessingml/2006/main">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ghel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1260</Words>
  <Characters>7435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asistentka</cp:lastModifiedBy>
  <cp:revision>16</cp:revision>
  <cp:lastPrinted>2013-06-28T06:45:00Z</cp:lastPrinted>
  <dcterms:created xsi:type="dcterms:W3CDTF">2023-05-03T11:41:00Z</dcterms:created>
  <dcterms:modified xsi:type="dcterms:W3CDTF">2023-06-21T06:06:00Z</dcterms:modified>
</cp:coreProperties>
</file>